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BDF3">
      <w:pPr>
        <w:pStyle w:val="15"/>
        <w:jc w:val="center"/>
        <w:outlineLvl w:val="1"/>
        <w:rPr>
          <w:color w:val="auto"/>
          <w:highlight w:val="none"/>
        </w:rPr>
      </w:pPr>
      <w:r>
        <w:rPr>
          <w:b/>
          <w:color w:val="auto"/>
          <w:sz w:val="36"/>
          <w:highlight w:val="none"/>
        </w:rPr>
        <w:t>采购需求</w:t>
      </w:r>
    </w:p>
    <w:p w14:paraId="42600AE5">
      <w:pPr>
        <w:pStyle w:val="15"/>
        <w:rPr>
          <w:rFonts w:hint="eastAsia" w:eastAsiaTheme="minorEastAsia"/>
          <w:b/>
          <w:bCs/>
          <w:color w:val="auto"/>
          <w:sz w:val="21"/>
          <w:highlight w:val="none"/>
          <w:lang w:eastAsia="zh-CN"/>
        </w:rPr>
      </w:pPr>
      <w:r>
        <w:rPr>
          <w:rFonts w:hint="eastAsia"/>
          <w:b/>
          <w:bCs/>
          <w:color w:val="auto"/>
          <w:sz w:val="21"/>
          <w:highlight w:val="none"/>
          <w:lang w:eastAsia="zh-CN"/>
        </w:rPr>
        <w:t>一、项目概况：</w:t>
      </w:r>
    </w:p>
    <w:p w14:paraId="532CD137">
      <w:pPr>
        <w:pStyle w:val="15"/>
        <w:numPr>
          <w:ilvl w:val="0"/>
          <w:numId w:val="2"/>
        </w:numPr>
        <w:ind w:left="425" w:leftChars="0" w:hanging="425" w:firstLineChars="0"/>
        <w:rPr>
          <w:rFonts w:hint="eastAsia"/>
          <w:color w:val="auto"/>
          <w:sz w:val="21"/>
          <w:highlight w:val="none"/>
          <w:lang w:eastAsia="zh-CN"/>
        </w:rPr>
      </w:pPr>
      <w:r>
        <w:rPr>
          <w:color w:val="auto"/>
          <w:sz w:val="21"/>
          <w:highlight w:val="none"/>
        </w:rPr>
        <w:t>项目名称：</w:t>
      </w:r>
      <w:r>
        <w:rPr>
          <w:rFonts w:hint="eastAsia"/>
          <w:color w:val="auto"/>
          <w:sz w:val="21"/>
          <w:highlight w:val="none"/>
          <w:lang w:eastAsia="zh-CN"/>
        </w:rPr>
        <w:t>2026年度中山市三角镇65岁及以上老年人体检服务项目</w:t>
      </w:r>
    </w:p>
    <w:p w14:paraId="1DA0C14B">
      <w:pPr>
        <w:pStyle w:val="15"/>
        <w:numPr>
          <w:ilvl w:val="0"/>
          <w:numId w:val="2"/>
        </w:numPr>
        <w:ind w:left="425" w:leftChars="0" w:hanging="425" w:firstLineChars="0"/>
        <w:rPr>
          <w:color w:val="auto"/>
          <w:sz w:val="21"/>
          <w:highlight w:val="none"/>
        </w:rPr>
      </w:pPr>
      <w:r>
        <w:rPr>
          <w:rFonts w:hint="eastAsia"/>
          <w:color w:val="auto"/>
          <w:sz w:val="21"/>
          <w:highlight w:val="none"/>
          <w:lang w:eastAsia="zh-CN"/>
        </w:rPr>
        <w:t>项目内容：为</w:t>
      </w:r>
      <w:r>
        <w:rPr>
          <w:color w:val="auto"/>
          <w:sz w:val="21"/>
          <w:highlight w:val="none"/>
        </w:rPr>
        <w:t>三角镇辖区内常住的65岁及以上老年人</w:t>
      </w:r>
      <w:r>
        <w:rPr>
          <w:rFonts w:hint="eastAsia"/>
          <w:color w:val="auto"/>
          <w:sz w:val="21"/>
          <w:highlight w:val="none"/>
          <w:lang w:eastAsia="zh-CN"/>
        </w:rPr>
        <w:t>提供体检服务，预估人数为11295人，最终以实际体检人数为准。</w:t>
      </w:r>
    </w:p>
    <w:p w14:paraId="65694E52">
      <w:pPr>
        <w:pStyle w:val="15"/>
        <w:numPr>
          <w:ilvl w:val="0"/>
          <w:numId w:val="2"/>
        </w:numPr>
        <w:ind w:left="425" w:leftChars="0" w:hanging="425" w:firstLineChars="0"/>
        <w:jc w:val="both"/>
        <w:rPr>
          <w:rFonts w:hint="eastAsia"/>
          <w:color w:val="auto"/>
          <w:sz w:val="21"/>
          <w:highlight w:val="none"/>
          <w:lang w:val="en-US" w:eastAsia="zh-CN"/>
        </w:rPr>
      </w:pPr>
      <w:r>
        <w:rPr>
          <w:color w:val="auto"/>
          <w:sz w:val="21"/>
          <w:highlight w:val="none"/>
        </w:rPr>
        <w:t>预算金额：</w:t>
      </w:r>
      <w:r>
        <w:rPr>
          <w:rFonts w:hint="eastAsia"/>
          <w:color w:val="auto"/>
          <w:sz w:val="21"/>
          <w:highlight w:val="none"/>
          <w:lang w:eastAsia="zh-CN"/>
        </w:rPr>
        <w:t>3343320.00</w:t>
      </w:r>
      <w:r>
        <w:rPr>
          <w:color w:val="auto"/>
          <w:sz w:val="21"/>
          <w:highlight w:val="none"/>
        </w:rPr>
        <w:t>元</w:t>
      </w:r>
      <w:r>
        <w:rPr>
          <w:rFonts w:hint="eastAsia"/>
          <w:color w:val="auto"/>
          <w:sz w:val="21"/>
          <w:highlight w:val="none"/>
          <w:lang w:eastAsia="zh-CN"/>
        </w:rPr>
        <w:t>，其中体检费上限单价为</w:t>
      </w:r>
      <w:r>
        <w:rPr>
          <w:rFonts w:hint="eastAsia"/>
          <w:color w:val="auto"/>
          <w:sz w:val="21"/>
          <w:highlight w:val="none"/>
          <w:lang w:val="en-US" w:eastAsia="zh-CN"/>
        </w:rPr>
        <w:t>296.00元/人。</w:t>
      </w:r>
    </w:p>
    <w:p w14:paraId="05CE6BF1">
      <w:pPr>
        <w:pStyle w:val="15"/>
        <w:numPr>
          <w:ilvl w:val="0"/>
          <w:numId w:val="2"/>
        </w:numPr>
        <w:ind w:left="425" w:leftChars="0" w:hanging="425" w:firstLineChars="0"/>
        <w:jc w:val="both"/>
        <w:rPr>
          <w:color w:val="auto"/>
          <w:sz w:val="21"/>
          <w:highlight w:val="none"/>
        </w:rPr>
      </w:pPr>
      <w:r>
        <w:rPr>
          <w:rFonts w:hint="eastAsia"/>
          <w:color w:val="auto"/>
          <w:sz w:val="21"/>
          <w:highlight w:val="none"/>
          <w:lang w:eastAsia="zh-CN"/>
        </w:rPr>
        <w:t>投标价格：包含</w:t>
      </w:r>
      <w:r>
        <w:rPr>
          <w:color w:val="auto"/>
          <w:sz w:val="21"/>
          <w:highlight w:val="none"/>
        </w:rPr>
        <w:t>体检服务前期所需的宣传、体检名单收集、检查费、报告费、平台数据对接、补检及税金等各项费用。如果</w:t>
      </w:r>
      <w:r>
        <w:rPr>
          <w:rFonts w:hint="eastAsia"/>
          <w:color w:val="auto"/>
          <w:sz w:val="21"/>
          <w:highlight w:val="none"/>
          <w:lang w:eastAsia="zh-CN"/>
        </w:rPr>
        <w:t>成交供应商</w:t>
      </w:r>
      <w:r>
        <w:rPr>
          <w:color w:val="auto"/>
          <w:sz w:val="21"/>
          <w:highlight w:val="none"/>
        </w:rPr>
        <w:t>在签署合同后，在实施工作中出现的任何遗漏，均由</w:t>
      </w:r>
      <w:r>
        <w:rPr>
          <w:rFonts w:hint="eastAsia"/>
          <w:color w:val="auto"/>
          <w:sz w:val="21"/>
          <w:highlight w:val="none"/>
          <w:lang w:eastAsia="zh-CN"/>
        </w:rPr>
        <w:t>成交供应商</w:t>
      </w:r>
      <w:r>
        <w:rPr>
          <w:color w:val="auto"/>
          <w:sz w:val="21"/>
          <w:highlight w:val="none"/>
        </w:rPr>
        <w:t>免费提供，采购人将不再支付任何费用。</w:t>
      </w:r>
    </w:p>
    <w:p w14:paraId="1A7816D8">
      <w:pPr>
        <w:pStyle w:val="15"/>
        <w:numPr>
          <w:ilvl w:val="0"/>
          <w:numId w:val="2"/>
        </w:numPr>
        <w:ind w:left="425" w:leftChars="0" w:hanging="425" w:firstLineChars="0"/>
        <w:jc w:val="both"/>
        <w:rPr>
          <w:color w:val="auto"/>
          <w:sz w:val="21"/>
          <w:highlight w:val="none"/>
        </w:rPr>
      </w:pPr>
      <w:r>
        <w:rPr>
          <w:rFonts w:hint="eastAsia"/>
          <w:color w:val="auto"/>
          <w:sz w:val="21"/>
          <w:highlight w:val="none"/>
          <w:lang w:eastAsia="zh-CN"/>
        </w:rPr>
        <w:t>成交供应商</w:t>
      </w:r>
      <w:r>
        <w:rPr>
          <w:color w:val="auto"/>
          <w:sz w:val="21"/>
          <w:highlight w:val="none"/>
        </w:rPr>
        <w:t>承担及负责磋商文件对</w:t>
      </w:r>
      <w:r>
        <w:rPr>
          <w:rFonts w:hint="eastAsia"/>
          <w:color w:val="auto"/>
          <w:sz w:val="21"/>
          <w:highlight w:val="none"/>
          <w:lang w:eastAsia="zh-CN"/>
        </w:rPr>
        <w:t>成交供应商</w:t>
      </w:r>
      <w:r>
        <w:rPr>
          <w:color w:val="auto"/>
          <w:sz w:val="21"/>
          <w:highlight w:val="none"/>
        </w:rPr>
        <w:t>要求的一切事宜及责任。</w:t>
      </w:r>
    </w:p>
    <w:p w14:paraId="050B61D4">
      <w:pPr>
        <w:pStyle w:val="15"/>
        <w:numPr>
          <w:ilvl w:val="0"/>
          <w:numId w:val="2"/>
        </w:numPr>
        <w:ind w:left="425" w:leftChars="0" w:hanging="425" w:firstLineChars="0"/>
        <w:jc w:val="both"/>
        <w:rPr>
          <w:color w:val="auto"/>
          <w:sz w:val="21"/>
          <w:highlight w:val="none"/>
        </w:rPr>
      </w:pPr>
      <w:r>
        <w:rPr>
          <w:rFonts w:hint="eastAsia"/>
          <w:color w:val="auto"/>
          <w:sz w:val="21"/>
          <w:highlight w:val="none"/>
          <w:lang w:eastAsia="zh-CN"/>
        </w:rPr>
        <w:t>成交供应商</w:t>
      </w:r>
      <w:r>
        <w:rPr>
          <w:color w:val="auto"/>
          <w:sz w:val="21"/>
          <w:highlight w:val="none"/>
        </w:rPr>
        <w:t>未经采购人批准，不得以任何方式转包或分包。</w:t>
      </w:r>
    </w:p>
    <w:p w14:paraId="6FC8691E">
      <w:pPr>
        <w:pStyle w:val="15"/>
        <w:numPr>
          <w:ilvl w:val="0"/>
          <w:numId w:val="2"/>
        </w:numPr>
        <w:ind w:left="425" w:leftChars="0" w:hanging="425" w:firstLineChars="0"/>
        <w:jc w:val="both"/>
        <w:rPr>
          <w:rFonts w:hint="eastAsia" w:eastAsiaTheme="minorEastAsia"/>
          <w:color w:val="auto"/>
          <w:sz w:val="21"/>
          <w:highlight w:val="none"/>
          <w:lang w:eastAsia="zh-CN"/>
        </w:rPr>
      </w:pPr>
      <w:r>
        <w:rPr>
          <w:rFonts w:hint="eastAsia"/>
          <w:color w:val="auto"/>
          <w:sz w:val="21"/>
          <w:highlight w:val="none"/>
          <w:lang w:eastAsia="zh-CN"/>
        </w:rPr>
        <w:t>打“★”号条款为实质性条款，若有任何一条负偏离或不满足则导致投标无效。 打“▲”号条款为重要技术参数，若有部分“▲”条款未响应或不满足，不作为无效投标条款。</w:t>
      </w:r>
    </w:p>
    <w:p w14:paraId="3E581A7C">
      <w:pPr>
        <w:pStyle w:val="15"/>
        <w:rPr>
          <w:color w:val="auto"/>
          <w:highlight w:val="none"/>
        </w:rPr>
      </w:pPr>
    </w:p>
    <w:p w14:paraId="5E5C0E5C">
      <w:pPr>
        <w:pStyle w:val="15"/>
        <w:rPr>
          <w:rFonts w:hint="eastAsia"/>
          <w:b/>
          <w:color w:val="auto"/>
          <w:sz w:val="21"/>
          <w:highlight w:val="none"/>
          <w:lang w:eastAsia="zh-CN"/>
        </w:rPr>
      </w:pPr>
      <w:r>
        <w:rPr>
          <w:rFonts w:hint="eastAsia"/>
          <w:b/>
          <w:color w:val="auto"/>
          <w:sz w:val="21"/>
          <w:highlight w:val="none"/>
          <w:lang w:eastAsia="zh-CN"/>
        </w:rPr>
        <w:t>二、服务内容</w:t>
      </w:r>
    </w:p>
    <w:p w14:paraId="52072D04">
      <w:pPr>
        <w:pStyle w:val="15"/>
        <w:numPr>
          <w:ilvl w:val="0"/>
          <w:numId w:val="3"/>
        </w:numPr>
        <w:ind w:left="425" w:leftChars="0" w:hanging="425" w:firstLineChars="0"/>
        <w:jc w:val="both"/>
        <w:rPr>
          <w:rFonts w:hint="eastAsia"/>
          <w:color w:val="auto"/>
          <w:sz w:val="21"/>
          <w:highlight w:val="none"/>
        </w:rPr>
      </w:pPr>
      <w:r>
        <w:rPr>
          <w:rFonts w:hint="eastAsia"/>
          <w:color w:val="auto"/>
          <w:sz w:val="21"/>
          <w:highlight w:val="none"/>
        </w:rPr>
        <w:t>此次服务工作采取固定点和上门相结合的方式开展服务，前期由</w:t>
      </w:r>
      <w:r>
        <w:rPr>
          <w:rFonts w:hint="eastAsia"/>
          <w:color w:val="auto"/>
          <w:sz w:val="21"/>
          <w:highlight w:val="none"/>
          <w:lang w:val="en-US" w:eastAsia="zh-CN"/>
        </w:rPr>
        <w:t>采购人</w:t>
      </w:r>
      <w:r>
        <w:rPr>
          <w:rFonts w:hint="eastAsia"/>
          <w:color w:val="auto"/>
          <w:sz w:val="21"/>
          <w:highlight w:val="none"/>
        </w:rPr>
        <w:t>对接村居固定服务场所和需提供上门服务的名单，</w:t>
      </w:r>
      <w:r>
        <w:rPr>
          <w:rFonts w:hint="eastAsia"/>
          <w:color w:val="auto"/>
          <w:sz w:val="21"/>
          <w:highlight w:val="none"/>
          <w:lang w:val="en-US" w:eastAsia="zh-CN"/>
        </w:rPr>
        <w:t>成交供应商</w:t>
      </w:r>
      <w:r>
        <w:rPr>
          <w:rFonts w:hint="eastAsia"/>
          <w:color w:val="auto"/>
          <w:sz w:val="21"/>
          <w:highlight w:val="none"/>
        </w:rPr>
        <w:t>按照要求实施服务和购买公众责任保险。</w:t>
      </w:r>
    </w:p>
    <w:p w14:paraId="1DEADA7D">
      <w:pPr>
        <w:pStyle w:val="15"/>
        <w:numPr>
          <w:ilvl w:val="0"/>
          <w:numId w:val="3"/>
        </w:numPr>
        <w:ind w:left="425" w:leftChars="0" w:hanging="425" w:firstLineChars="0"/>
        <w:jc w:val="both"/>
        <w:rPr>
          <w:rFonts w:hint="eastAsia"/>
          <w:color w:val="auto"/>
          <w:sz w:val="21"/>
          <w:highlight w:val="none"/>
        </w:rPr>
      </w:pPr>
      <w:r>
        <w:rPr>
          <w:rFonts w:hint="eastAsia"/>
          <w:color w:val="auto"/>
          <w:sz w:val="21"/>
          <w:highlight w:val="none"/>
          <w:lang w:val="en-US" w:eastAsia="zh-CN"/>
        </w:rPr>
        <w:t>成交供应商</w:t>
      </w:r>
      <w:r>
        <w:rPr>
          <w:rFonts w:hint="eastAsia"/>
          <w:color w:val="auto"/>
          <w:sz w:val="21"/>
          <w:highlight w:val="none"/>
        </w:rPr>
        <w:t>制定服务方案，制定的服务方案须经</w:t>
      </w:r>
      <w:r>
        <w:rPr>
          <w:rFonts w:hint="eastAsia"/>
          <w:color w:val="auto"/>
          <w:sz w:val="21"/>
          <w:highlight w:val="none"/>
          <w:lang w:val="en-US" w:eastAsia="zh-CN"/>
        </w:rPr>
        <w:t>采购人</w:t>
      </w:r>
      <w:r>
        <w:rPr>
          <w:rFonts w:hint="eastAsia"/>
          <w:color w:val="auto"/>
          <w:sz w:val="21"/>
          <w:highlight w:val="none"/>
        </w:rPr>
        <w:t>审核同意，确定方案后按照方案开展工作。</w:t>
      </w:r>
      <w:r>
        <w:rPr>
          <w:rFonts w:hint="eastAsia"/>
          <w:color w:val="auto"/>
          <w:sz w:val="21"/>
          <w:highlight w:val="none"/>
          <w:lang w:val="en-US" w:eastAsia="zh-CN"/>
        </w:rPr>
        <w:t>成交供应商</w:t>
      </w:r>
      <w:r>
        <w:rPr>
          <w:rFonts w:hint="eastAsia"/>
          <w:color w:val="auto"/>
          <w:sz w:val="21"/>
          <w:highlight w:val="none"/>
        </w:rPr>
        <w:t>宣传发动辖区内常住的老年人参加，针对部分有特殊情况的老年人需提供上门服务，主动与村居联系对接服务相关事项。</w:t>
      </w:r>
    </w:p>
    <w:p w14:paraId="061E7ED1">
      <w:pPr>
        <w:pStyle w:val="15"/>
        <w:numPr>
          <w:ilvl w:val="0"/>
          <w:numId w:val="3"/>
        </w:numPr>
        <w:ind w:left="425" w:leftChars="0" w:hanging="425" w:firstLineChars="0"/>
        <w:jc w:val="both"/>
        <w:rPr>
          <w:rFonts w:hint="eastAsia"/>
          <w:color w:val="auto"/>
          <w:sz w:val="21"/>
          <w:highlight w:val="none"/>
        </w:rPr>
      </w:pPr>
      <w:r>
        <w:rPr>
          <w:rFonts w:hint="eastAsia"/>
          <w:color w:val="auto"/>
          <w:sz w:val="21"/>
          <w:highlight w:val="none"/>
          <w:lang w:val="en-US" w:eastAsia="zh-CN"/>
        </w:rPr>
        <w:t>成交供应商</w:t>
      </w:r>
      <w:r>
        <w:rPr>
          <w:rFonts w:hint="eastAsia"/>
          <w:color w:val="auto"/>
          <w:sz w:val="21"/>
          <w:highlight w:val="none"/>
        </w:rPr>
        <w:t>在本镇各村居的协助下做前期宣传发动通知，核实</w:t>
      </w:r>
      <w:r>
        <w:rPr>
          <w:rFonts w:hint="eastAsia"/>
          <w:color w:val="auto"/>
          <w:sz w:val="21"/>
          <w:highlight w:val="none"/>
          <w:lang w:eastAsia="zh-CN"/>
        </w:rPr>
        <w:t>三角</w:t>
      </w:r>
      <w:r>
        <w:rPr>
          <w:rFonts w:hint="eastAsia"/>
          <w:color w:val="auto"/>
          <w:sz w:val="21"/>
          <w:highlight w:val="none"/>
        </w:rPr>
        <w:t>镇常住的65岁及以上老年人，并将服务相关事项通知到位，所产生的费用由</w:t>
      </w:r>
      <w:r>
        <w:rPr>
          <w:rFonts w:hint="eastAsia"/>
          <w:color w:val="auto"/>
          <w:sz w:val="21"/>
          <w:highlight w:val="none"/>
          <w:lang w:val="en-US" w:eastAsia="zh-CN"/>
        </w:rPr>
        <w:t>成交供应商</w:t>
      </w:r>
      <w:r>
        <w:rPr>
          <w:rFonts w:hint="eastAsia"/>
          <w:color w:val="auto"/>
          <w:sz w:val="21"/>
          <w:highlight w:val="none"/>
        </w:rPr>
        <w:t>承担。</w:t>
      </w:r>
    </w:p>
    <w:p w14:paraId="56FAAF30">
      <w:pPr>
        <w:pStyle w:val="15"/>
        <w:numPr>
          <w:ilvl w:val="0"/>
          <w:numId w:val="3"/>
        </w:numPr>
        <w:ind w:left="425" w:leftChars="0" w:hanging="425" w:firstLineChars="0"/>
        <w:jc w:val="both"/>
        <w:rPr>
          <w:rFonts w:hint="eastAsia"/>
          <w:color w:val="auto"/>
          <w:sz w:val="21"/>
          <w:highlight w:val="none"/>
        </w:rPr>
      </w:pPr>
      <w:r>
        <w:rPr>
          <w:rFonts w:hint="eastAsia"/>
          <w:color w:val="auto"/>
          <w:sz w:val="21"/>
          <w:highlight w:val="none"/>
          <w:lang w:val="en-US" w:eastAsia="zh-CN"/>
        </w:rPr>
        <w:t>成交供应商</w:t>
      </w:r>
      <w:r>
        <w:rPr>
          <w:rFonts w:hint="eastAsia"/>
          <w:color w:val="auto"/>
          <w:sz w:val="21"/>
          <w:highlight w:val="none"/>
        </w:rPr>
        <w:t>必须将全部服务信息完整、准确地录入/上传至中山市公共卫生信息平台并安排人</w:t>
      </w:r>
      <w:r>
        <w:rPr>
          <w:rFonts w:hint="eastAsia"/>
          <w:color w:val="auto"/>
          <w:sz w:val="21"/>
          <w:highlight w:val="none"/>
          <w:lang w:eastAsia="zh-CN"/>
        </w:rPr>
        <w:t>员</w:t>
      </w:r>
      <w:r>
        <w:rPr>
          <w:rFonts w:hint="eastAsia"/>
          <w:color w:val="auto"/>
          <w:sz w:val="21"/>
          <w:highlight w:val="none"/>
        </w:rPr>
        <w:t>做好数据质控。对于没有建档的居民进行建档，档案在本市其他镇区的需将档案迁移到</w:t>
      </w:r>
      <w:r>
        <w:rPr>
          <w:rFonts w:hint="eastAsia"/>
          <w:color w:val="auto"/>
          <w:sz w:val="21"/>
          <w:highlight w:val="none"/>
          <w:lang w:eastAsia="zh-CN"/>
        </w:rPr>
        <w:t>三角</w:t>
      </w:r>
      <w:r>
        <w:rPr>
          <w:rFonts w:hint="eastAsia"/>
          <w:color w:val="auto"/>
          <w:sz w:val="21"/>
          <w:highlight w:val="none"/>
        </w:rPr>
        <w:t>镇。</w:t>
      </w:r>
    </w:p>
    <w:p w14:paraId="63C752EA">
      <w:pPr>
        <w:pStyle w:val="15"/>
        <w:numPr>
          <w:ilvl w:val="0"/>
          <w:numId w:val="3"/>
        </w:numPr>
        <w:ind w:left="425" w:leftChars="0" w:hanging="425" w:firstLineChars="0"/>
        <w:jc w:val="both"/>
        <w:rPr>
          <w:rFonts w:hint="eastAsia"/>
          <w:color w:val="auto"/>
          <w:sz w:val="21"/>
          <w:highlight w:val="none"/>
          <w:lang w:eastAsia="zh-CN"/>
        </w:rPr>
      </w:pPr>
      <w:r>
        <w:rPr>
          <w:rFonts w:hint="eastAsia"/>
          <w:color w:val="auto"/>
          <w:sz w:val="21"/>
          <w:highlight w:val="none"/>
        </w:rPr>
        <w:t>补检工作</w:t>
      </w:r>
      <w:r>
        <w:rPr>
          <w:rFonts w:hint="eastAsia"/>
          <w:color w:val="auto"/>
          <w:sz w:val="21"/>
          <w:highlight w:val="none"/>
          <w:lang w:eastAsia="zh-CN"/>
        </w:rPr>
        <w:t>，</w:t>
      </w:r>
      <w:r>
        <w:rPr>
          <w:rFonts w:hint="eastAsia"/>
          <w:color w:val="auto"/>
          <w:sz w:val="21"/>
          <w:highlight w:val="none"/>
        </w:rPr>
        <w:t>对服务人数未达到市下达最低任务数的</w:t>
      </w:r>
      <w:r>
        <w:rPr>
          <w:rFonts w:hint="eastAsia"/>
          <w:color w:val="auto"/>
          <w:sz w:val="21"/>
          <w:highlight w:val="none"/>
          <w:lang w:val="en-US" w:eastAsia="zh-CN"/>
        </w:rPr>
        <w:t>66</w:t>
      </w:r>
      <w:r>
        <w:rPr>
          <w:rFonts w:hint="eastAsia"/>
          <w:color w:val="auto"/>
          <w:sz w:val="21"/>
          <w:highlight w:val="none"/>
        </w:rPr>
        <w:t>%或服务项目部分未完成的，</w:t>
      </w:r>
      <w:r>
        <w:rPr>
          <w:rFonts w:hint="eastAsia"/>
          <w:color w:val="auto"/>
          <w:sz w:val="21"/>
          <w:highlight w:val="none"/>
          <w:lang w:val="en-US" w:eastAsia="zh-CN"/>
        </w:rPr>
        <w:t>成交供应商</w:t>
      </w:r>
      <w:r>
        <w:rPr>
          <w:rFonts w:hint="eastAsia"/>
          <w:color w:val="auto"/>
          <w:sz w:val="21"/>
          <w:highlight w:val="none"/>
        </w:rPr>
        <w:t>要组建补检团队在固定点或上门开展服务。</w:t>
      </w:r>
    </w:p>
    <w:p w14:paraId="28B55A4C">
      <w:pPr>
        <w:pStyle w:val="15"/>
        <w:numPr>
          <w:ilvl w:val="0"/>
          <w:numId w:val="0"/>
        </w:numPr>
        <w:ind w:leftChars="0"/>
        <w:jc w:val="both"/>
        <w:rPr>
          <w:rFonts w:hint="eastAsia"/>
          <w:color w:val="auto"/>
          <w:sz w:val="21"/>
          <w:highlight w:val="none"/>
        </w:rPr>
      </w:pPr>
    </w:p>
    <w:p w14:paraId="4571DB26">
      <w:pPr>
        <w:pStyle w:val="15"/>
        <w:rPr>
          <w:color w:val="auto"/>
          <w:highlight w:val="none"/>
        </w:rPr>
      </w:pPr>
      <w:r>
        <w:rPr>
          <w:b/>
          <w:color w:val="auto"/>
          <w:sz w:val="21"/>
          <w:highlight w:val="none"/>
        </w:rPr>
        <w:t>三、项目要求</w:t>
      </w:r>
    </w:p>
    <w:p w14:paraId="2C07A410">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 xml:space="preserve">成交供应商需具有提供足够现场检验、检查、体检结果录入等设备，保证现场体检顺利进行，不得出现长时间的排队滞后现象。  </w:t>
      </w:r>
    </w:p>
    <w:p w14:paraId="593F4ABB">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 xml:space="preserve">未经采购人同意，体检现场不得出现关于成交供应商及其机构任何宣传标语及广告内容。 </w:t>
      </w:r>
    </w:p>
    <w:p w14:paraId="1C4F1545">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供应商须须派驻1-2人做驻点负责人，驻点负责人在服务期内需在采购人工作现场驻点，配合采购人做好本项目相关的日常工作及负责体检现场的协调工作。驻点负责人需具备卫生类职业（从业）资格。驻点负责人不纳入现场服务团队人员，</w:t>
      </w:r>
      <w:r>
        <w:rPr>
          <w:rFonts w:hint="eastAsia"/>
          <w:color w:val="auto"/>
          <w:sz w:val="21"/>
          <w:highlight w:val="none"/>
          <w:lang w:val="en-US" w:eastAsia="zh-CN"/>
        </w:rPr>
        <w:t>成交供应商</w:t>
      </w:r>
      <w:r>
        <w:rPr>
          <w:rFonts w:hint="eastAsia"/>
          <w:color w:val="auto"/>
          <w:sz w:val="21"/>
          <w:highlight w:val="none"/>
          <w:lang w:eastAsia="zh-CN"/>
        </w:rPr>
        <w:t>应根据本项目需求配备充足的现场服务人员并经由采购人确认最终人数。</w:t>
      </w:r>
    </w:p>
    <w:p w14:paraId="4CAD6B23">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成交供应商应当严格遵守保密义务，未征得采购人同意，禁止将本次服务的相关信息资源对外披露、公布或泄露，否则采购人有权追究成交供应商法律责任。</w:t>
      </w:r>
    </w:p>
    <w:p w14:paraId="22A02FD1">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成交供应商须按《国家基本公共卫生服务规范》（第三版）</w:t>
      </w:r>
      <w:r>
        <w:rPr>
          <w:rFonts w:hint="eastAsia"/>
          <w:color w:val="auto"/>
          <w:sz w:val="21"/>
          <w:highlight w:val="none"/>
          <w:lang w:val="en-US" w:eastAsia="zh-CN"/>
        </w:rPr>
        <w:t>以及中医体质辨析、糖化血红蛋白、胸部DR检测</w:t>
      </w:r>
      <w:r>
        <w:rPr>
          <w:rFonts w:hint="eastAsia"/>
          <w:color w:val="auto"/>
          <w:sz w:val="21"/>
          <w:highlight w:val="none"/>
          <w:lang w:eastAsia="zh-CN"/>
        </w:rPr>
        <w:t>规定落实各项目，为辖区内符合政策条件人群提供优质高效的服务。</w:t>
      </w:r>
    </w:p>
    <w:p w14:paraId="326C57F8">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成交供应商开展服务时应细致组织、热情接待，落实好安全措施，避免发生安全事故。成交供应商应做好应急预案，安排专人处置突发事故。</w:t>
      </w:r>
    </w:p>
    <w:p w14:paraId="2A32D272">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成交供应商应为本项目购买公众责任险，公众责任险要求：累计赔偿限额不低于900万元；每次事故赔偿限额不低于900万元，其中财产损失限额不低于50万元，人身伤亡赔偿限额不低于850万元（人身伤亡赔中每人伤亡赔偿限额不低于100万元，每人医疗赔偿限额不低于5万元）。如发生意外事故时，保险赔付金额外的所有费用由成交供应商支付。</w:t>
      </w:r>
    </w:p>
    <w:p w14:paraId="52F225C6">
      <w:pPr>
        <w:pStyle w:val="15"/>
        <w:numPr>
          <w:ilvl w:val="0"/>
          <w:numId w:val="4"/>
        </w:numPr>
        <w:ind w:left="425" w:leftChars="0" w:hanging="425" w:firstLineChars="0"/>
        <w:jc w:val="both"/>
        <w:rPr>
          <w:rFonts w:hint="eastAsia"/>
          <w:color w:val="auto"/>
          <w:sz w:val="21"/>
          <w:highlight w:val="none"/>
          <w:lang w:eastAsia="zh-CN"/>
        </w:rPr>
      </w:pPr>
      <w:r>
        <w:rPr>
          <w:rFonts w:hint="eastAsia"/>
          <w:color w:val="auto"/>
          <w:sz w:val="21"/>
          <w:highlight w:val="none"/>
          <w:lang w:eastAsia="zh-CN"/>
        </w:rPr>
        <w:t>提供服务前，成交供应商须接受采购人不少于两次的培训。</w:t>
      </w:r>
    </w:p>
    <w:p w14:paraId="699737BD">
      <w:pPr>
        <w:pStyle w:val="15"/>
        <w:numPr>
          <w:ilvl w:val="0"/>
          <w:numId w:val="4"/>
        </w:numPr>
        <w:ind w:left="425" w:leftChars="0" w:hanging="425" w:firstLineChars="0"/>
        <w:jc w:val="both"/>
        <w:rPr>
          <w:rFonts w:hint="eastAsia"/>
          <w:color w:val="auto"/>
          <w:sz w:val="21"/>
          <w:highlight w:val="none"/>
          <w:lang w:eastAsia="zh-CN"/>
        </w:rPr>
      </w:pPr>
      <w:r>
        <w:rPr>
          <w:color w:val="auto"/>
          <w:sz w:val="21"/>
          <w:highlight w:val="none"/>
        </w:rPr>
        <w:t>★</w:t>
      </w:r>
      <w:r>
        <w:rPr>
          <w:rFonts w:hint="eastAsia"/>
          <w:color w:val="auto"/>
          <w:sz w:val="21"/>
          <w:highlight w:val="none"/>
          <w:lang w:eastAsia="zh-CN"/>
        </w:rPr>
        <w:t>供应商</w:t>
      </w:r>
      <w:r>
        <w:rPr>
          <w:rFonts w:hint="eastAsia"/>
          <w:color w:val="auto"/>
          <w:sz w:val="21"/>
          <w:highlight w:val="none"/>
          <w:lang w:val="en-US" w:eastAsia="zh-CN"/>
        </w:rPr>
        <w:t>须提供便携式DR投入于本项目开展体检服务。</w:t>
      </w:r>
      <w:r>
        <w:rPr>
          <w:rFonts w:hint="eastAsia" w:ascii="宋体" w:hAnsi="宋体" w:eastAsia="宋体" w:cs="宋体"/>
          <w:b/>
          <w:bCs w:val="0"/>
          <w:color w:val="auto"/>
          <w:sz w:val="21"/>
          <w:szCs w:val="21"/>
          <w:highlight w:val="none"/>
          <w:lang w:eastAsia="zh-CN"/>
        </w:rPr>
        <w:t>（在响应文件中提供承诺函并加盖供应商公章，格式自拟)</w:t>
      </w:r>
    </w:p>
    <w:p w14:paraId="407F5AEB">
      <w:pPr>
        <w:pStyle w:val="15"/>
        <w:rPr>
          <w:rFonts w:hint="eastAsia"/>
          <w:b/>
          <w:color w:val="auto"/>
          <w:sz w:val="21"/>
          <w:highlight w:val="none"/>
          <w:lang w:eastAsia="zh-CN"/>
        </w:rPr>
      </w:pPr>
    </w:p>
    <w:p w14:paraId="3BF2006F">
      <w:pPr>
        <w:pStyle w:val="15"/>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lang w:eastAsia="zh-CN"/>
        </w:rPr>
        <w:t>、体检项目</w:t>
      </w:r>
    </w:p>
    <w:p w14:paraId="7D4CE0B0">
      <w:pPr>
        <w:pStyle w:val="15"/>
        <w:numPr>
          <w:ilvl w:val="0"/>
          <w:numId w:val="5"/>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生活方式和健康状况评估。通过问诊及老年人健康状态自评了解其基本健康状况、体育锻炼、饮食、吸烟、饮酒、慢性疾病常见症状、既往所患疾病、治疗及目前用药和生活自理能力等情况。</w:t>
      </w:r>
    </w:p>
    <w:p w14:paraId="67B4EB30">
      <w:pPr>
        <w:pStyle w:val="15"/>
        <w:numPr>
          <w:ilvl w:val="0"/>
          <w:numId w:val="5"/>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体格检查。包括体温、脉搏、呼吸、血压、身高、体重、腰围、皮肤、浅表淋巴结、肺部、心脏、腹部等常规体格检查，并对口腔、视力、听力和运动功能等进行粗测判断。</w:t>
      </w:r>
    </w:p>
    <w:p w14:paraId="1907DCEC">
      <w:pPr>
        <w:pStyle w:val="15"/>
        <w:numPr>
          <w:ilvl w:val="0"/>
          <w:numId w:val="5"/>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辅助检查（含必检项目与赠送项目）。</w:t>
      </w:r>
    </w:p>
    <w:p w14:paraId="3915B273">
      <w:pPr>
        <w:pStyle w:val="15"/>
        <w:numPr>
          <w:ilvl w:val="0"/>
          <w:numId w:val="6"/>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必检项目：包括血常规、尿常规、肝功能（丙氨酸氨基转移酶(ALT)、天门冬氨酸氨基转移酶(AST)和总胆红素）、肾功能（血清肌酐和血尿素）、空腹血糖、</w:t>
      </w:r>
      <w:r>
        <w:rPr>
          <w:rFonts w:hint="eastAsia" w:ascii="宋体" w:hAnsi="宋体" w:eastAsia="宋体" w:cs="宋体"/>
          <w:bCs/>
          <w:color w:val="auto"/>
          <w:sz w:val="21"/>
          <w:szCs w:val="21"/>
          <w:highlight w:val="none"/>
          <w:lang w:val="en-US" w:eastAsia="zh-CN"/>
        </w:rPr>
        <w:t>糖化血红蛋白检测、</w:t>
      </w:r>
      <w:r>
        <w:rPr>
          <w:rFonts w:hint="eastAsia" w:ascii="宋体" w:hAnsi="宋体" w:eastAsia="宋体" w:cs="宋体"/>
          <w:bCs/>
          <w:color w:val="auto"/>
          <w:sz w:val="21"/>
          <w:szCs w:val="21"/>
          <w:highlight w:val="none"/>
          <w:lang w:eastAsia="zh-CN"/>
        </w:rPr>
        <w:t>血脂（总胆固醇、甘油三酯、低密度脂蛋白胆固醇、高密度脂蛋白胆固醇）、心电图、腹部B超（肝胆胰脾）、</w:t>
      </w:r>
      <w:r>
        <w:rPr>
          <w:rFonts w:hint="eastAsia" w:ascii="宋体" w:hAnsi="宋体" w:eastAsia="宋体" w:cs="宋体"/>
          <w:bCs/>
          <w:color w:val="auto"/>
          <w:sz w:val="21"/>
          <w:szCs w:val="21"/>
          <w:highlight w:val="none"/>
          <w:lang w:val="en-US" w:eastAsia="zh-CN"/>
        </w:rPr>
        <w:t>胸部DR检测</w:t>
      </w:r>
      <w:r>
        <w:rPr>
          <w:rFonts w:hint="eastAsia" w:ascii="宋体" w:hAnsi="宋体" w:eastAsia="宋体" w:cs="宋体"/>
          <w:bCs/>
          <w:color w:val="auto"/>
          <w:sz w:val="21"/>
          <w:szCs w:val="21"/>
          <w:highlight w:val="none"/>
          <w:lang w:eastAsia="zh-CN"/>
        </w:rPr>
        <w:t>。必检项目缺一不可。</w:t>
      </w:r>
    </w:p>
    <w:p w14:paraId="3F3E31C7">
      <w:pPr>
        <w:pStyle w:val="15"/>
        <w:numPr>
          <w:ilvl w:val="0"/>
          <w:numId w:val="6"/>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必须</w:t>
      </w:r>
      <w:r>
        <w:rPr>
          <w:rFonts w:hint="eastAsia" w:ascii="宋体" w:hAnsi="宋体" w:eastAsia="宋体" w:cs="宋体"/>
          <w:bCs/>
          <w:color w:val="auto"/>
          <w:sz w:val="21"/>
          <w:szCs w:val="21"/>
          <w:highlight w:val="none"/>
          <w:lang w:eastAsia="zh-CN"/>
        </w:rPr>
        <w:t>赠送项目：肾功能（尿酸）、中医体质辨识（需配备中医执业医师）、</w:t>
      </w:r>
      <w:r>
        <w:rPr>
          <w:rFonts w:hint="eastAsia" w:ascii="宋体" w:hAnsi="宋体" w:eastAsia="宋体" w:cs="宋体"/>
          <w:b w:val="0"/>
          <w:bCs/>
          <w:color w:val="auto"/>
          <w:sz w:val="21"/>
          <w:szCs w:val="21"/>
          <w:highlight w:val="none"/>
          <w:lang w:val="en-US" w:eastAsia="zh-CN"/>
        </w:rPr>
        <w:t>老年人HIV筛查（</w:t>
      </w:r>
      <w:r>
        <w:rPr>
          <w:rFonts w:hint="eastAsia" w:ascii="宋体" w:hAnsi="宋体" w:eastAsia="宋体" w:cs="宋体"/>
          <w:bCs/>
          <w:color w:val="auto"/>
          <w:sz w:val="21"/>
          <w:szCs w:val="21"/>
          <w:highlight w:val="none"/>
          <w:lang w:val="en-US" w:eastAsia="zh-CN"/>
        </w:rPr>
        <w:t>1000人</w:t>
      </w:r>
      <w:r>
        <w:rPr>
          <w:rFonts w:hint="eastAsia" w:ascii="宋体" w:hAnsi="宋体" w:eastAsia="宋体" w:cs="宋体"/>
          <w:bCs/>
          <w:color w:val="auto"/>
          <w:sz w:val="21"/>
          <w:szCs w:val="21"/>
          <w:highlight w:val="none"/>
          <w:lang w:eastAsia="zh-CN"/>
        </w:rPr>
        <w:t>）。</w:t>
      </w:r>
    </w:p>
    <w:p w14:paraId="6B000872">
      <w:pPr>
        <w:pStyle w:val="15"/>
        <w:numPr>
          <w:ilvl w:val="0"/>
          <w:numId w:val="5"/>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健康指导。告知评价结果并进行相应健康指导。</w:t>
      </w:r>
    </w:p>
    <w:p w14:paraId="44E9B42F">
      <w:pPr>
        <w:pStyle w:val="15"/>
        <w:numPr>
          <w:ilvl w:val="0"/>
          <w:numId w:val="7"/>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根据《国家基本公共卫生服务规范》（第三版）的要求，为老年人提供健康管理服务。</w:t>
      </w:r>
      <w:r>
        <w:rPr>
          <w:rFonts w:hint="eastAsia" w:ascii="宋体" w:hAnsi="宋体" w:eastAsia="宋体" w:cs="宋体"/>
          <w:color w:val="auto"/>
          <w:sz w:val="21"/>
          <w:szCs w:val="21"/>
          <w:highlight w:val="none"/>
          <w:lang w:val="en-US" w:eastAsia="zh-CN"/>
        </w:rPr>
        <w:t>具体详见以下表格，</w:t>
      </w:r>
      <w:r>
        <w:rPr>
          <w:rFonts w:hint="eastAsia" w:ascii="宋体" w:hAnsi="宋体" w:eastAsia="宋体" w:cs="宋体"/>
          <w:color w:val="auto"/>
          <w:sz w:val="21"/>
          <w:szCs w:val="21"/>
          <w:highlight w:val="none"/>
        </w:rPr>
        <w:t>服务项目包括</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7"/>
        <w:gridCol w:w="1305"/>
        <w:gridCol w:w="6444"/>
      </w:tblGrid>
      <w:tr w14:paraId="1BAE3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6F1E71">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EF7A87">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64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74B70F">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服务说明(要求）</w:t>
            </w:r>
          </w:p>
        </w:tc>
      </w:tr>
      <w:tr w14:paraId="773414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EACECA">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50D3EC">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基本信息采集</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4C880B">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姓名、身份证、性别、出生日期、本人电话、现住址、户籍、户籍地址、联系人姓名、联系人电话、民族、血型、RH、文化程度、职业、工作单位、婚姻状况、医疗费用支付方式、药物过敏史、暴露史、既往疾病史、手术史、外伤史、输血史、家族史、遗传病史、残疾情况、吸烟、饮酒、饮食、体育锻炼、症状、主要用药情况、住院情况等，无建健康档案的需建立电子档案。</w:t>
            </w:r>
          </w:p>
        </w:tc>
      </w:tr>
      <w:tr w14:paraId="06C0D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30C9A4">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528B95">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一般状况检查</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B248FE">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包括：身高、体重、腰围、双侧血压、脉搏、呼吸频率、体温等。</w:t>
            </w:r>
          </w:p>
        </w:tc>
      </w:tr>
      <w:tr w14:paraId="51A6D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625F06">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B7EFCE">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生活方式和健康状况评估</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D48B5D">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包括：老年人健康状态自我评估、老年人生活自理能力评估</w:t>
            </w:r>
            <w:r>
              <w:rPr>
                <w:rFonts w:hint="eastAsia" w:ascii="宋体" w:hAnsi="宋体" w:eastAsia="宋体" w:cs="宋体"/>
                <w:color w:val="auto"/>
                <w:sz w:val="21"/>
                <w:szCs w:val="21"/>
                <w:highlight w:val="none"/>
                <w:lang w:eastAsia="zh-CN"/>
              </w:rPr>
              <w:t>。</w:t>
            </w:r>
          </w:p>
        </w:tc>
      </w:tr>
      <w:tr w14:paraId="0A949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8DFD08">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4CDEBF">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脏器功能检查</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7BF05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包括：耳鼻喉检查、口腔（包括齿列）、标准视力表测试、听力、运动功能等进行粗测判断。</w:t>
            </w:r>
          </w:p>
        </w:tc>
      </w:tr>
      <w:tr w14:paraId="0CD0A7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E3C3B4">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0722BF">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体格检查</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F14FCE">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包括：内外科检查，含心、肺、腹部的听诊、触诊，皮肤、浅表淋巴结、巩膜、双下肢足背动脉搏动检查等。</w:t>
            </w:r>
          </w:p>
        </w:tc>
      </w:tr>
      <w:tr w14:paraId="3009E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0D600A">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213C8F">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心电图检查</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F454D2">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十二导联心电图（需现场向服务对象提供纸质心电图）。</w:t>
            </w:r>
          </w:p>
        </w:tc>
      </w:tr>
      <w:tr w14:paraId="10B16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06AF88">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7626BF">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彩色超声检查</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0DB7B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肝胆脾胰超声。</w:t>
            </w:r>
          </w:p>
        </w:tc>
      </w:tr>
      <w:tr w14:paraId="2F687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05991">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00CB9D">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血常规（五分类）检验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3308A2">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包括：白细胞、血红蛋白、血小板、红细胞等。</w:t>
            </w:r>
          </w:p>
        </w:tc>
      </w:tr>
      <w:tr w14:paraId="6C46E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3C2685">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BD49D4">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尿常规检验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75E7F5">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包括：颜色、比重、酸碱度、尿糖、尿潜血、尿胆素、尿酮体、尿胆原、尿胆红素、尿蛋白、亚硝酸盐、白细胞等。</w:t>
            </w:r>
          </w:p>
        </w:tc>
      </w:tr>
      <w:tr w14:paraId="02646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D13E6B">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42209A">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肝功三项检验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53A7B">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包括：丙氨酸氨基转移酶(ALT)、天门冬氨酸氨基转移酶(AST)、总胆红素(STB)。</w:t>
            </w:r>
          </w:p>
        </w:tc>
      </w:tr>
      <w:tr w14:paraId="338A8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7C12EC">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142A76">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血脂四项检验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B663CB">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包括：甘油三酯(TG)、总胆固醇(CHOL)、高密度脂蛋白（HDL）、低密度脂蛋白（LDL）。</w:t>
            </w:r>
          </w:p>
        </w:tc>
      </w:tr>
      <w:tr w14:paraId="4A82B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7C2F58">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C8D26E">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肾功二项检验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1C1D0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包括：血尿素、血清肌酐（CR）。</w:t>
            </w:r>
          </w:p>
        </w:tc>
      </w:tr>
      <w:tr w14:paraId="3EF431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1DAB65">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9821F7">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血糖检验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ABE91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空腹血糖（静脉血）。</w:t>
            </w:r>
          </w:p>
        </w:tc>
      </w:tr>
      <w:tr w14:paraId="66DD7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EAB40A">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A1D329">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糖化血红蛋白检验</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4218C1">
            <w:pPr>
              <w:pStyle w:val="15"/>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糖化血红蛋白检验</w:t>
            </w:r>
          </w:p>
        </w:tc>
      </w:tr>
      <w:tr w14:paraId="74D06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EED4D5">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A83AB6">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胸部DR检测</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0966C0">
            <w:pPr>
              <w:pStyle w:val="15"/>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胸部DR检测</w:t>
            </w:r>
          </w:p>
        </w:tc>
      </w:tr>
      <w:tr w14:paraId="56726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53AC40">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F5EC6F">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健康评价及指导</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9B0832">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包括：异常情况、健康评价、健康指导、危险因素控制。</w:t>
            </w:r>
          </w:p>
        </w:tc>
      </w:tr>
      <w:tr w14:paraId="1306D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F67985">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24D629">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现场健康咨询</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1A9CD2">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对服务对象的健康问题进行专业解答。</w:t>
            </w:r>
          </w:p>
        </w:tc>
      </w:tr>
      <w:tr w14:paraId="5590A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0300A8">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4A1B04">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健康体检报告</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E1E34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为服务对象提供纸质体检报告一份，为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提供电子体检报告一份。</w:t>
            </w:r>
          </w:p>
        </w:tc>
      </w:tr>
      <w:tr w14:paraId="18C90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116AB">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51FA71">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报告解读</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527672">
            <w:pPr>
              <w:pStyle w:val="15"/>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color w:val="auto"/>
                <w:sz w:val="21"/>
                <w:szCs w:val="21"/>
                <w:highlight w:val="none"/>
              </w:rPr>
              <w:t>需安排医生对已服务对象的体检报告进行现场解读，对未到现场听取体检报告解读的，需进行电话解读。另</w:t>
            </w: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color w:val="auto"/>
                <w:sz w:val="21"/>
                <w:szCs w:val="21"/>
                <w:highlight w:val="none"/>
              </w:rPr>
              <w:t>需安排工作人员做好体检报告发放签收工作。</w:t>
            </w:r>
          </w:p>
        </w:tc>
      </w:tr>
      <w:tr w14:paraId="72D90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D9DDA9">
            <w:pPr>
              <w:pStyle w:val="15"/>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4FFB5B">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信息录入/上传</w:t>
            </w:r>
          </w:p>
        </w:tc>
        <w:tc>
          <w:tcPr>
            <w:tcW w:w="6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3A7208">
            <w:pPr>
              <w:pStyle w:val="15"/>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color w:val="auto"/>
                <w:sz w:val="21"/>
                <w:szCs w:val="21"/>
                <w:highlight w:val="none"/>
              </w:rPr>
              <w:t>需安排具备卫生类职业（从业）资格的人员把所有体检数据录入/上传到中山市公共卫生信息平台，相关信息要求真实、完整、正确，无空项漏项，无基本逻辑问题。具体按照《国家基本公共卫生服务规范》（第三版）、《广东省居民健康档案规范填写参考指南》各专项服务规范的具体说明和要求执行，如：</w:t>
            </w:r>
          </w:p>
          <w:p w14:paraId="03CBA8BE">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1.一般状况。</w:t>
            </w:r>
          </w:p>
          <w:p w14:paraId="5431DF2D">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(1)血压必须测量双侧血压值并准确填写，如有上肢缺失，可测量下肢。</w:t>
            </w:r>
          </w:p>
          <w:p w14:paraId="6D0DED60">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(2)65岁及以上老年人需询问填写“老年人健康状况自我评估”、“老年人生活自理能力评估”项。</w:t>
            </w:r>
          </w:p>
          <w:p w14:paraId="7ED220F8">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2.生活方式。</w:t>
            </w:r>
          </w:p>
          <w:p w14:paraId="058FCC7A">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(1)体育锻炼:指主动锻炼，即有意识地为强体健身而进行的活动。不包括因工作或其他需要而必需进行的活动。锻炼方式填写最常采用的具体锻炼方式(如散步、快步走、跳舞、登山、骑自行车等)。</w:t>
            </w:r>
          </w:p>
          <w:p w14:paraId="5F1EEB2D">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(2)吸烟情况:已戒烟者应填写“戒烟年龄”及戒烟前相关情况，包括“开始吸烟年龄”、“日吸烟量”。</w:t>
            </w:r>
          </w:p>
          <w:p w14:paraId="41E5262B">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饮酒情况:饮酒频率的“偶尔”指每周饮酒次数不足3次，没有形成饮酒习惯，“经常”指每周饮酒至少3次，已形成饮酒习惯:日饮酒量=饮酒量/饮酒天数(两)，日饮酒量需折合成白酒量，白酒量=啤酒量/10=黄酒/5=红酒/4:已戒酒者应填写“戒酒年龄”及戒酒前相关情况，包括“开始饮酒年龄”、“饮酒频率"和“日饮酒量”“饮酒种类"，如戒酒时间已满一年，不需填写“近一年内是否曾醉酒”。</w:t>
            </w:r>
          </w:p>
          <w:p w14:paraId="721D7438">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3.脏器功能听力:若一只耳朵能听见，另一只耳朵听不见，勾选“听不清或无法听见”。</w:t>
            </w:r>
          </w:p>
          <w:p w14:paraId="623B4921">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4.查体</w:t>
            </w:r>
          </w:p>
          <w:p w14:paraId="0F4F48FC">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发现异常体格，勾选“建议复查”。</w:t>
            </w:r>
          </w:p>
          <w:p w14:paraId="2660A815">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5.辅助检查:该项目根据免费辅助检查项目按照各项规范要求执行。</w:t>
            </w:r>
          </w:p>
          <w:p w14:paraId="67477AA8">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尿常规中的“尿蛋白、尿糖、尿酮体、尿潜血”可以填写定性检查结果，阴性填“-”，阳性根据检查结果填写“十”“十十”、“十十十”或“十十十十”也可以填写定量检查结果，定量结果需写明计量单位。</w:t>
            </w:r>
          </w:p>
          <w:p w14:paraId="7686334A">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(2)空腹血糖:建议有条件的地区对糖尿病患者开展糖化血红蛋白检查。</w:t>
            </w:r>
          </w:p>
          <w:p w14:paraId="0972212A">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(3)心电图、B超检查结果若有异常，须具体描述异常结果，其中B超须写明检查的部位。</w:t>
            </w:r>
          </w:p>
          <w:p w14:paraId="268B8F34">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(4)其他:表中列出的检查项目以外的辅助检查结果填写在“其他”一栏。</w:t>
            </w:r>
          </w:p>
          <w:p w14:paraId="1AC68E88">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6.现存主要健康问题:指曾经出现或一直存在，并影响目前身体健康状况的疾病，可以多选。注意明确诊断的高血压、糖尿病、严重精神障碍患者无论是否纳入管理、是否控制良好，均需填写在现存主要健康问题项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若有高血压、糖尿病等现患疾病或者新增的疾病需同时填写在个人基本信息表既往史一栏。除脑血管、肾脏、心脏、血管、眼部、神经系统以外的确诊的现患疾病填写在其他系统疾病一栏。</w:t>
            </w:r>
          </w:p>
          <w:p w14:paraId="3D573915">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7.住院治疗情况:指近1年的住院治疗情况。如因慢性病急性发作或加重而住院/家庭病床，请特别说明：医疗机构名称入出院日期、原因、病案号。</w:t>
            </w:r>
          </w:p>
          <w:p w14:paraId="03C18E92">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主要用药情况:对长期服药的慢性病患写全称。了解其近1年的主要用药情况，西药填写化学名及商品名，中药填写药品名称或中药汤剂，用法、用量按医生医嘱填写，用法指给药途径，如：口服、皮下注射等。用量指用药频次和剂量，如:每日三次，每次5mg等。用药时间指在此时间段内共服用此药的时间，单位为年、月或天。服药依从性是指对此药的依从情况，“规律”为按医嘱服药，“间断”为未按医嘱服药，频次或数量不足，“不服药”即为医生开了处方，但患者未使用此药。</w:t>
            </w:r>
          </w:p>
          <w:p w14:paraId="52DF3496">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9.非免疫规划预防接种史:填写近1年接种的疫苗的名称、接种日期和接种机构。</w:t>
            </w:r>
          </w:p>
          <w:p w14:paraId="1BE7259A">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10.健康评价:</w:t>
            </w:r>
          </w:p>
          <w:p w14:paraId="286A8D0F">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(1)无异常是指无新发疾病且原有疾病控制良好无加重或进展。否则为有异常，填写具体异常情况，包括高血压、糖尿病、生活能力，情感筛查等身体和心理的异常情况。</w:t>
            </w:r>
          </w:p>
          <w:p w14:paraId="3A7E1DD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(2)老年人体检的“脏器功能”及“查体项目，出现视力减退、听力减弱要进行评价，视力低于5.0(五分法)需评价“视力减退”，缺齿、皮肤色素沉着等一般性异常的无需评价。</w:t>
            </w:r>
          </w:p>
          <w:p w14:paraId="7FC710F2">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(3)对于血压指标的健康评价</w:t>
            </w:r>
          </w:p>
          <w:p w14:paraId="1E6D819D">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a.对于未确诊高血压的一般人群:</w:t>
            </w:r>
          </w:p>
          <w:p w14:paraId="1A070298">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测量血压正常者，即收缩压&lt;130mmHg且舒张压&lt;85mmHg居民，无需评价。</w:t>
            </w:r>
          </w:p>
          <w:p w14:paraId="7CBA194B">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测量血压升高者，即收缩压130-139mmHg和(或)舒张压85-89mmHg居民，评价“血压正常高值”，勾选建议复查，按照高血压高危人群管理，建议其每半年至少测量1次血压，并进行针对性健康指导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收缩压≥140mmHg和(或)舒张压≥90mmHg居民，除了评价“血压升高”之外，还需勾选“建议复查”，需进行非同日3次测量血压。</w:t>
            </w:r>
          </w:p>
          <w:p w14:paraId="115FE787">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b.对已确诊的高血压患者:</w:t>
            </w:r>
          </w:p>
          <w:p w14:paraId="1B756B39">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测量血压达到控制目标者，老年高血压患者血压降至150/90mmHg以下者，且病情无加重或进展(出现药物不良反应或新的并发症等)，无需评价，仅需继续勾选“纳入慢性病患者健康管理”。</w:t>
            </w:r>
          </w:p>
          <w:p w14:paraId="0AFC8AFD">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压未达到控制目标者，评价“高血压、血压控制不满意”，继续勾选“纳入慢性病患者健康管理”，如病情有加重或进展的，还需增加评价药物不良反应或新的并发症等具体情况，并根据实际情况勾选“建议复查”和或“建议转诊”，转诊指征及要求详见《国家基本公共卫生服务规范》（第三版）。</w:t>
            </w:r>
          </w:p>
          <w:p w14:paraId="0502E2C7">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(4)对于血糖指标的健康评价</w:t>
            </w:r>
          </w:p>
          <w:p w14:paraId="026B7425">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a.对于未确诊2型糖尿病的一般人群:</w:t>
            </w:r>
          </w:p>
          <w:p w14:paraId="2488E854">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测量血糖正常者，即空腹血糖&lt;6.1mmol/L(或非空腹血糖&lt;7.8mmol/L)居民，无需评价。</w:t>
            </w:r>
          </w:p>
          <w:p w14:paraId="0C193E1E">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糖异常者，即6.1mmol/L≤空腹血糖&lt;7.0mmol/L(或7.8mmol/L≤非空腹血糖&lt;11.1mmol/L)时，评价“糖调节受损”或“糖尿病前期”，以上情况勾选“建议复查”并按照高危人群管理,建议其每年至少测量1次空腹血糖，并进行针对性健康指导。≥7.0mmol/L或非空腹血糖≥11.1mmol/L时，并根据实际情况勾选“建议复查”和或“建议转诊”，转诊指征及要求详见《国家基本公共卫生服务规范》（第三版）。</w:t>
            </w:r>
          </w:p>
          <w:p w14:paraId="471F8297">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b.对已确诊的2型糖尿病患者:</w:t>
            </w:r>
          </w:p>
          <w:p w14:paraId="09EE6773">
            <w:pPr>
              <w:pStyle w:val="15"/>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血糖达到控制目标者,即空腹血糖&lt;7.0mmol/L(或非空腹血糖&lt;10.0mmol/L)者，且病情无加重或进展(出现药物不良反应或新的并发症等)，无需评价，仅需继续勾选“纳入慢性病患者健康管理”。测量血糖未达到控制目标者，评价“2型糖尿病、血糖控制不满意”，继续勾选“纳入慢性病患者健康管理”，如病情有加重或进展的，还需增加评价药物不良反应或新的并发症等具体情况，并根据实际情况勾选“建议复查”或“建议转诊”转诊指征及要求详见《国家基本公共卫生服务规范》(第三版)。</w:t>
            </w:r>
          </w:p>
          <w:p w14:paraId="125D1C58">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(5)辅助检查结果的评价:若检查结果存在异常，且可能为慢性病并发症、药物不良反应的重要指征，应进行评价。</w:t>
            </w:r>
          </w:p>
          <w:p w14:paraId="719B6660">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国家基本公共卫生服务规范》(第三版)中有明确判定标准的指标如体质指数、腰围等，应结合检查结果按照判定标准进行评价，健康评价不能简单罗列检查结果，如BMI≥24.0kg/㎡,应评价为“超重”，女性腰围≥85cm,应评价为“腹型肥胖”。</w:t>
            </w:r>
          </w:p>
          <w:p w14:paraId="625CD541">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11.健康指导:</w:t>
            </w:r>
          </w:p>
          <w:p w14:paraId="27A6D8CC">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纳入慢性病患者健康管理是指高血压、糖尿病、严重精神障碍患者等重点人群定期随访和健康体检，注意明确诊断的高血压、糖尿病、严重精神障碍患者，应继续勾选纳入慢性病患者健康管理，尚未确诊的不应纳入管理。</w:t>
            </w:r>
          </w:p>
          <w:p w14:paraId="3BEB03A7">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(2)危险因素控制中，已戒烟者无需再勾选戒烟。</w:t>
            </w:r>
          </w:p>
          <w:p w14:paraId="771C00C5">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(3)减体重的目标是指根据居民或患者的具体情况，制定下次体检之前需要减重减到的目标值，而非减少的值(一般1年内减重 1~2.5kg 较为合理)。</w:t>
            </w:r>
          </w:p>
        </w:tc>
      </w:tr>
    </w:tbl>
    <w:p w14:paraId="465BF45C">
      <w:pPr>
        <w:pStyle w:val="15"/>
        <w:numPr>
          <w:ilvl w:val="0"/>
          <w:numId w:val="7"/>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按照《国家基本公共卫生服务规范》（第三版）的要求为老年人提供中医药健康管理服务。</w:t>
      </w:r>
      <w:r>
        <w:rPr>
          <w:rFonts w:hint="eastAsia" w:ascii="宋体" w:hAnsi="宋体" w:eastAsia="宋体" w:cs="宋体"/>
          <w:color w:val="auto"/>
          <w:sz w:val="21"/>
          <w:szCs w:val="21"/>
          <w:highlight w:val="none"/>
          <w:lang w:val="en-US" w:eastAsia="zh-CN"/>
        </w:rPr>
        <w:t>具体详见以下表格，</w:t>
      </w:r>
      <w:r>
        <w:rPr>
          <w:rFonts w:hint="eastAsia" w:ascii="宋体" w:hAnsi="宋体" w:eastAsia="宋体" w:cs="宋体"/>
          <w:color w:val="auto"/>
          <w:sz w:val="21"/>
          <w:szCs w:val="21"/>
          <w:highlight w:val="none"/>
        </w:rPr>
        <w:t>服务项目包括</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9"/>
        <w:gridCol w:w="1291"/>
        <w:gridCol w:w="6466"/>
      </w:tblGrid>
      <w:tr w14:paraId="42FE4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849300">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B74BB9">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64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9580A4">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服务说明（要求）</w:t>
            </w:r>
          </w:p>
        </w:tc>
      </w:tr>
      <w:tr w14:paraId="52D86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CF572">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1C677">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基本信息采集</w:t>
            </w:r>
          </w:p>
        </w:tc>
        <w:tc>
          <w:tcPr>
            <w:tcW w:w="6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A49E9">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姓名、身份证、性别、出生日期、本人电话、现住址、户籍、户籍地址、联系人姓名、联系人电话、民族、血型、RH、文化程度、职业、工作单位、婚姻状况、医疗费用支付方式、药物过敏史、暴露史、既往疾病史、手术史、外伤史、输血史、家族史、遗传病史、残疾情况、吸烟、饮酒、饮食、体育锻炼、症状、主要用药情况、住院情况等，无建健康档案的需建立电子档案。（在老年人健康管理服务中已采集上述信息的，本服务项目不重复采集）</w:t>
            </w:r>
          </w:p>
        </w:tc>
      </w:tr>
      <w:tr w14:paraId="57938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602B4">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92C65">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中医体质辨识、体质判断</w:t>
            </w:r>
          </w:p>
        </w:tc>
        <w:tc>
          <w:tcPr>
            <w:tcW w:w="6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950FE">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中医体质辨识问卷及脉象。对老年人进行中医体质辨识，包括体质信息采集，体质判断，结果告知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根据不同的体质从情志调摄、饮食调养、起居调摄、运动保健、穴位保健等方面进行相应的中医药保健指导。</w:t>
            </w:r>
          </w:p>
        </w:tc>
      </w:tr>
      <w:tr w14:paraId="518CEC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35296">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C3AB3">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进行穴位贴敷</w:t>
            </w:r>
          </w:p>
        </w:tc>
        <w:tc>
          <w:tcPr>
            <w:tcW w:w="6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D071F">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针对对象体质结果对服务对象进行穴位贴敷，并派发中医保健处方。</w:t>
            </w:r>
          </w:p>
        </w:tc>
      </w:tr>
      <w:tr w14:paraId="704698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B0869">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6E4BE">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提供中医咨询</w:t>
            </w:r>
          </w:p>
        </w:tc>
        <w:tc>
          <w:tcPr>
            <w:tcW w:w="6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96374">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提供中医健康问题解答。</w:t>
            </w:r>
          </w:p>
        </w:tc>
      </w:tr>
      <w:tr w14:paraId="5CF1B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9EC63">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64E5D">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老年人中医体质辨识结果熟识程度跟进</w:t>
            </w:r>
          </w:p>
        </w:tc>
        <w:tc>
          <w:tcPr>
            <w:tcW w:w="6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D12AD">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安排医生在对已服务对象的体检报告进行现场解读时，同步进行中医体质辨识结果的再次告知及派发中医保健处方，根据不同的体质从情志调摄、饮食调养、起居调摄、运动保健、穴位保健等方面进行中医药保健指导。</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需安排工作人员做好体质辨识结果发放签收工作。对未到现场听取中医体质辨识结果解读的老年人，</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需安排人员一一打电话再次解读中医体质辨识结果。</w:t>
            </w:r>
          </w:p>
        </w:tc>
      </w:tr>
      <w:tr w14:paraId="06460E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863CD">
            <w:pPr>
              <w:pStyle w:val="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3C9B2">
            <w:pPr>
              <w:pStyle w:val="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中医体质辨识结果录入/上传</w:t>
            </w:r>
          </w:p>
        </w:tc>
        <w:tc>
          <w:tcPr>
            <w:tcW w:w="6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82EBBC">
            <w:pPr>
              <w:pStyle w:val="15"/>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color w:val="auto"/>
                <w:sz w:val="21"/>
                <w:szCs w:val="21"/>
                <w:highlight w:val="none"/>
              </w:rPr>
              <w:t>需安排人员把所有中医体质辨识结果及保健指导情况录入/上传到中山市公共卫生信息平台，相关信息要求真实、完整、正确，无空项漏项，无基本逻辑问题。</w:t>
            </w:r>
          </w:p>
        </w:tc>
      </w:tr>
    </w:tbl>
    <w:p w14:paraId="4AE3A73B">
      <w:pPr>
        <w:pStyle w:val="15"/>
        <w:rPr>
          <w:rFonts w:hint="eastAsia"/>
          <w:b/>
          <w:color w:val="auto"/>
          <w:sz w:val="21"/>
          <w:highlight w:val="none"/>
          <w:lang w:eastAsia="zh-CN"/>
        </w:rPr>
      </w:pPr>
    </w:p>
    <w:p w14:paraId="36125A9E">
      <w:pPr>
        <w:pStyle w:val="15"/>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lang w:eastAsia="zh-CN"/>
        </w:rPr>
        <w:t>、体检信息录入</w:t>
      </w:r>
    </w:p>
    <w:p w14:paraId="55983CDF">
      <w:pPr>
        <w:pStyle w:val="15"/>
        <w:numPr>
          <w:ilvl w:val="0"/>
          <w:numId w:val="8"/>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时间要求：完成体检后，需要在一个月内将体检信息录入到中山市区域卫生信息平台-基层医疗卫生信息系统，形成边体检边录入。</w:t>
      </w:r>
    </w:p>
    <w:p w14:paraId="1FE65C90">
      <w:pPr>
        <w:pStyle w:val="15"/>
        <w:numPr>
          <w:ilvl w:val="0"/>
          <w:numId w:val="8"/>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录入要求：体检信息必须严格按照《国家基本公共卫生服务规范（第三版）》要求录入，并定期开展质量控制。</w:t>
      </w:r>
    </w:p>
    <w:p w14:paraId="0C77158D">
      <w:pPr>
        <w:pStyle w:val="15"/>
        <w:rPr>
          <w:rFonts w:hint="eastAsia" w:ascii="宋体" w:hAnsi="宋体" w:eastAsia="宋体" w:cs="宋体"/>
          <w:b/>
          <w:color w:val="auto"/>
          <w:sz w:val="21"/>
          <w:szCs w:val="21"/>
          <w:highlight w:val="none"/>
          <w:lang w:val="en-US" w:eastAsia="zh-CN"/>
        </w:rPr>
      </w:pPr>
    </w:p>
    <w:p w14:paraId="1F5BD1B5">
      <w:pPr>
        <w:pStyle w:val="15"/>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lang w:eastAsia="zh-CN"/>
        </w:rPr>
        <w:t>、体检报告</w:t>
      </w:r>
    </w:p>
    <w:p w14:paraId="4F19C360">
      <w:pPr>
        <w:pStyle w:val="15"/>
        <w:numPr>
          <w:ilvl w:val="0"/>
          <w:numId w:val="9"/>
        </w:numPr>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时间要求：完成体检后，需要按照相关规范在一个月内出具《健康检查报告》交至中山市卫生健康局三角分局。</w:t>
      </w:r>
    </w:p>
    <w:p w14:paraId="7AB69D59">
      <w:pPr>
        <w:pStyle w:val="15"/>
        <w:rPr>
          <w:rFonts w:hint="eastAsia" w:ascii="宋体" w:hAnsi="宋体" w:eastAsia="宋体" w:cs="宋体"/>
          <w:b/>
          <w:color w:val="auto"/>
          <w:sz w:val="21"/>
          <w:szCs w:val="21"/>
          <w:highlight w:val="none"/>
          <w:lang w:val="en-US" w:eastAsia="zh-CN"/>
        </w:rPr>
      </w:pPr>
    </w:p>
    <w:p w14:paraId="433814F8">
      <w:pPr>
        <w:pStyle w:val="15"/>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lang w:eastAsia="zh-CN"/>
        </w:rPr>
        <w:t>、其他要求</w:t>
      </w:r>
    </w:p>
    <w:p w14:paraId="6DF5D7B2">
      <w:pPr>
        <w:pStyle w:val="15"/>
        <w:numPr>
          <w:ilvl w:val="0"/>
          <w:numId w:val="10"/>
        </w:numPr>
        <w:adjustRightInd w:val="0"/>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人数要求：</w:t>
      </w:r>
      <w:r>
        <w:rPr>
          <w:rFonts w:hint="eastAsia" w:ascii="宋体" w:hAnsi="宋体" w:eastAsia="宋体" w:cs="宋体"/>
          <w:b w:val="0"/>
          <w:bCs/>
          <w:color w:val="auto"/>
          <w:sz w:val="21"/>
          <w:szCs w:val="21"/>
          <w:highlight w:val="none"/>
          <w:lang w:val="en-US" w:eastAsia="zh-CN"/>
        </w:rPr>
        <w:t>按实际完成体检人数结算体检经费</w:t>
      </w:r>
      <w:r>
        <w:rPr>
          <w:rFonts w:hint="eastAsia" w:ascii="宋体" w:hAnsi="宋体" w:eastAsia="宋体" w:cs="宋体"/>
          <w:bCs/>
          <w:color w:val="auto"/>
          <w:sz w:val="21"/>
          <w:szCs w:val="21"/>
          <w:highlight w:val="none"/>
          <w:lang w:eastAsia="zh-CN"/>
        </w:rPr>
        <w:t>。</w:t>
      </w:r>
    </w:p>
    <w:p w14:paraId="5D8432BD">
      <w:pPr>
        <w:pStyle w:val="15"/>
        <w:numPr>
          <w:ilvl w:val="0"/>
          <w:numId w:val="10"/>
        </w:numPr>
        <w:adjustRightInd w:val="0"/>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至少开展六轮以上（</w:t>
      </w:r>
      <w:r>
        <w:rPr>
          <w:rFonts w:hint="eastAsia" w:ascii="宋体" w:hAnsi="宋体" w:eastAsia="宋体" w:cs="宋体"/>
          <w:bCs/>
          <w:color w:val="auto"/>
          <w:sz w:val="21"/>
          <w:szCs w:val="21"/>
          <w:highlight w:val="none"/>
          <w:lang w:val="en-US" w:eastAsia="zh-CN"/>
        </w:rPr>
        <w:t>每个村社区</w:t>
      </w:r>
      <w:r>
        <w:rPr>
          <w:rFonts w:hint="eastAsia" w:ascii="宋体" w:hAnsi="宋体" w:eastAsia="宋体" w:cs="宋体"/>
          <w:bCs/>
          <w:color w:val="auto"/>
          <w:sz w:val="21"/>
          <w:szCs w:val="21"/>
          <w:highlight w:val="none"/>
          <w:lang w:eastAsia="zh-CN"/>
        </w:rPr>
        <w:t>每轮1-3天），覆盖三角镇</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村2社区集中设点体检。</w:t>
      </w:r>
    </w:p>
    <w:p w14:paraId="293DEC9A">
      <w:pPr>
        <w:pStyle w:val="15"/>
        <w:numPr>
          <w:ilvl w:val="0"/>
          <w:numId w:val="10"/>
        </w:numPr>
        <w:adjustRightInd w:val="0"/>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对行动不便的老年人开展入户体检。</w:t>
      </w:r>
    </w:p>
    <w:p w14:paraId="3C9619CC">
      <w:pPr>
        <w:pStyle w:val="15"/>
        <w:numPr>
          <w:ilvl w:val="0"/>
          <w:numId w:val="10"/>
        </w:numPr>
        <w:adjustRightInd w:val="0"/>
        <w:ind w:left="425" w:leftChars="0" w:hanging="425" w:firstLineChars="0"/>
        <w:rPr>
          <w:rFonts w:hint="eastAsia" w:ascii="宋体" w:hAnsi="宋体" w:eastAsia="宋体" w:cs="宋体"/>
          <w:b/>
          <w:bCs w:val="0"/>
          <w:color w:val="auto"/>
          <w:sz w:val="21"/>
          <w:szCs w:val="21"/>
          <w:highlight w:val="none"/>
          <w:lang w:eastAsia="zh-CN"/>
        </w:rPr>
      </w:pPr>
      <w:r>
        <w:rPr>
          <w:color w:val="auto"/>
          <w:sz w:val="21"/>
          <w:highlight w:val="none"/>
        </w:rPr>
        <w:t>★</w:t>
      </w:r>
      <w:r>
        <w:rPr>
          <w:rFonts w:hint="eastAsia" w:ascii="宋体" w:hAnsi="宋体" w:eastAsia="宋体" w:cs="宋体"/>
          <w:bCs/>
          <w:color w:val="auto"/>
          <w:sz w:val="21"/>
          <w:szCs w:val="21"/>
          <w:highlight w:val="none"/>
          <w:lang w:eastAsia="zh-CN"/>
        </w:rPr>
        <w:t>为保证本项目的正常运行，成交供应商须承诺成交结果发出之日起7个日历天内（签订合同前），成交供应商按响应文件提供的关于磋商文件评审因素的“拟投入的医护人员（含项目负责人）”投入于本项目，人员应与响应文件提供的关于磋商文件评审因素的“拟投入的医护人员（含项目负责人）”一致率不低于80%，如有更换要事前征得采购人的同意，且所替代人员的质量不得低于原人员的质量，否则采购人有权废除其成交资格。本项目合同服务期起，供应商安排进驻本项目人员到场率为100%。如成交供应商无法满足要求的，采购人有权终止其合同。</w:t>
      </w:r>
      <w:r>
        <w:rPr>
          <w:rFonts w:hint="eastAsia" w:ascii="宋体" w:hAnsi="宋体" w:eastAsia="宋体" w:cs="宋体"/>
          <w:b/>
          <w:bCs w:val="0"/>
          <w:color w:val="auto"/>
          <w:sz w:val="21"/>
          <w:szCs w:val="21"/>
          <w:highlight w:val="none"/>
          <w:lang w:eastAsia="zh-CN"/>
        </w:rPr>
        <w:t>（在响应文件中提供承诺函并加盖供应商公章，格式自拟)</w:t>
      </w:r>
    </w:p>
    <w:p w14:paraId="6CC2AD44">
      <w:pPr>
        <w:pStyle w:val="15"/>
        <w:rPr>
          <w:rFonts w:hint="eastAsia"/>
          <w:b/>
          <w:color w:val="auto"/>
          <w:sz w:val="21"/>
          <w:highlight w:val="none"/>
          <w:lang w:eastAsia="zh-CN"/>
        </w:rPr>
      </w:pPr>
    </w:p>
    <w:p w14:paraId="08F2A2EA">
      <w:pPr>
        <w:pStyle w:val="15"/>
        <w:rPr>
          <w:color w:val="auto"/>
          <w:highlight w:val="none"/>
        </w:rPr>
      </w:pPr>
      <w:r>
        <w:rPr>
          <w:b/>
          <w:color w:val="auto"/>
          <w:sz w:val="21"/>
          <w:highlight w:val="none"/>
        </w:rPr>
        <w:t>八、服务能力要求</w:t>
      </w:r>
    </w:p>
    <w:p w14:paraId="35B8750B">
      <w:pPr>
        <w:pStyle w:val="15"/>
        <w:numPr>
          <w:ilvl w:val="0"/>
          <w:numId w:val="11"/>
        </w:numPr>
        <w:ind w:left="425" w:leftChars="0" w:hanging="425" w:firstLineChars="0"/>
        <w:rPr>
          <w:color w:val="auto"/>
          <w:highlight w:val="none"/>
        </w:rPr>
      </w:pPr>
      <w:r>
        <w:rPr>
          <w:rFonts w:hint="eastAsia"/>
          <w:color w:val="auto"/>
          <w:sz w:val="21"/>
          <w:highlight w:val="none"/>
          <w:lang w:eastAsia="zh-CN"/>
        </w:rPr>
        <w:t>成交供应商</w:t>
      </w:r>
      <w:r>
        <w:rPr>
          <w:color w:val="auto"/>
          <w:sz w:val="21"/>
          <w:highlight w:val="none"/>
        </w:rPr>
        <w:t>需根据采购人的要求在体检现场配备一定数量的工作人员发放、回收相关表格及维持现场秩序；各服务项目需按要求配备一定数量的医护人员以满足服务需求，保证服务的顺利进行，相关检查项目的人员须具备相应资格，所有医护人员需提交资格证给采购人备查。</w:t>
      </w:r>
      <w:r>
        <w:rPr>
          <w:rFonts w:hint="eastAsia"/>
          <w:color w:val="auto"/>
          <w:sz w:val="21"/>
          <w:highlight w:val="none"/>
          <w:lang w:eastAsia="zh-CN"/>
        </w:rPr>
        <w:t>成交供应商</w:t>
      </w:r>
      <w:r>
        <w:rPr>
          <w:color w:val="auto"/>
          <w:sz w:val="21"/>
          <w:highlight w:val="none"/>
        </w:rPr>
        <w:t>在工作过程中设备及医疗耗材必须符合相关要求。服务工作人员数量配置要求按下表执行，配置要求是按服务对象（老年人）300人/场预计，具体工作人员数量配置根据现场服务对象（老年人）人数情况进行增减。</w:t>
      </w:r>
    </w:p>
    <w:tbl>
      <w:tblPr>
        <w:tblStyle w:val="13"/>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2688"/>
        <w:gridCol w:w="791"/>
        <w:gridCol w:w="4182"/>
      </w:tblGrid>
      <w:tr w14:paraId="2F8C8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607134">
            <w:pPr>
              <w:pStyle w:val="15"/>
              <w:jc w:val="center"/>
              <w:rPr>
                <w:color w:val="auto"/>
                <w:highlight w:val="none"/>
              </w:rPr>
            </w:pPr>
            <w:r>
              <w:rPr>
                <w:color w:val="auto"/>
                <w:sz w:val="21"/>
                <w:highlight w:val="none"/>
              </w:rPr>
              <w:t>序号</w:t>
            </w:r>
          </w:p>
        </w:tc>
        <w:tc>
          <w:tcPr>
            <w:tcW w:w="26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1E2F05">
            <w:pPr>
              <w:pStyle w:val="15"/>
              <w:jc w:val="center"/>
              <w:rPr>
                <w:color w:val="auto"/>
                <w:highlight w:val="none"/>
              </w:rPr>
            </w:pPr>
            <w:r>
              <w:rPr>
                <w:color w:val="auto"/>
                <w:sz w:val="21"/>
                <w:highlight w:val="none"/>
              </w:rPr>
              <w:t>具体工作</w:t>
            </w:r>
          </w:p>
        </w:tc>
        <w:tc>
          <w:tcPr>
            <w:tcW w:w="7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23FE9A">
            <w:pPr>
              <w:pStyle w:val="15"/>
              <w:jc w:val="center"/>
              <w:rPr>
                <w:color w:val="auto"/>
                <w:highlight w:val="none"/>
              </w:rPr>
            </w:pPr>
            <w:r>
              <w:rPr>
                <w:color w:val="auto"/>
                <w:sz w:val="21"/>
                <w:highlight w:val="none"/>
              </w:rPr>
              <w:t>人数</w:t>
            </w:r>
          </w:p>
        </w:tc>
        <w:tc>
          <w:tcPr>
            <w:tcW w:w="41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6DE442">
            <w:pPr>
              <w:pStyle w:val="15"/>
              <w:jc w:val="center"/>
              <w:rPr>
                <w:color w:val="auto"/>
                <w:highlight w:val="none"/>
              </w:rPr>
            </w:pPr>
            <w:r>
              <w:rPr>
                <w:color w:val="auto"/>
                <w:sz w:val="21"/>
                <w:highlight w:val="none"/>
              </w:rPr>
              <w:t>说明（要求）</w:t>
            </w:r>
          </w:p>
        </w:tc>
      </w:tr>
      <w:tr w14:paraId="612EF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CCE7E">
            <w:pPr>
              <w:pStyle w:val="15"/>
              <w:jc w:val="center"/>
              <w:rPr>
                <w:color w:val="auto"/>
                <w:highlight w:val="none"/>
              </w:rPr>
            </w:pPr>
            <w:r>
              <w:rPr>
                <w:color w:val="auto"/>
                <w:sz w:val="21"/>
                <w:highlight w:val="none"/>
              </w:rPr>
              <w:t>1</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143EC">
            <w:pPr>
              <w:pStyle w:val="15"/>
              <w:jc w:val="center"/>
              <w:rPr>
                <w:color w:val="auto"/>
                <w:highlight w:val="none"/>
              </w:rPr>
            </w:pPr>
            <w:r>
              <w:rPr>
                <w:color w:val="auto"/>
                <w:sz w:val="21"/>
                <w:highlight w:val="none"/>
              </w:rPr>
              <w:t>现场项目统筹负责人</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A9339">
            <w:pPr>
              <w:pStyle w:val="15"/>
              <w:jc w:val="center"/>
              <w:rPr>
                <w:color w:val="auto"/>
                <w:highlight w:val="none"/>
              </w:rPr>
            </w:pPr>
            <w:r>
              <w:rPr>
                <w:color w:val="auto"/>
                <w:sz w:val="21"/>
                <w:highlight w:val="none"/>
              </w:rPr>
              <w:t>1</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5D6BA">
            <w:pPr>
              <w:pStyle w:val="15"/>
              <w:rPr>
                <w:color w:val="auto"/>
                <w:highlight w:val="none"/>
              </w:rPr>
            </w:pPr>
            <w:r>
              <w:rPr>
                <w:color w:val="auto"/>
                <w:sz w:val="21"/>
                <w:highlight w:val="none"/>
              </w:rPr>
              <w:t>专职统筹现场工作</w:t>
            </w:r>
          </w:p>
        </w:tc>
      </w:tr>
      <w:tr w14:paraId="4AFA9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D0D2B">
            <w:pPr>
              <w:pStyle w:val="15"/>
              <w:jc w:val="center"/>
              <w:rPr>
                <w:color w:val="auto"/>
                <w:highlight w:val="none"/>
              </w:rPr>
            </w:pPr>
            <w:r>
              <w:rPr>
                <w:color w:val="auto"/>
                <w:sz w:val="21"/>
                <w:highlight w:val="none"/>
              </w:rPr>
              <w:t>2</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94A24">
            <w:pPr>
              <w:pStyle w:val="15"/>
              <w:jc w:val="center"/>
              <w:rPr>
                <w:color w:val="auto"/>
                <w:highlight w:val="none"/>
              </w:rPr>
            </w:pPr>
            <w:r>
              <w:rPr>
                <w:color w:val="auto"/>
                <w:sz w:val="21"/>
                <w:highlight w:val="none"/>
              </w:rPr>
              <w:t>体检表发放、回收</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AA776">
            <w:pPr>
              <w:pStyle w:val="15"/>
              <w:jc w:val="center"/>
              <w:rPr>
                <w:color w:val="auto"/>
                <w:highlight w:val="none"/>
              </w:rPr>
            </w:pPr>
            <w:r>
              <w:rPr>
                <w:color w:val="auto"/>
                <w:sz w:val="21"/>
                <w:highlight w:val="none"/>
              </w:rPr>
              <w:t>2</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FD2E3">
            <w:pPr>
              <w:pStyle w:val="15"/>
              <w:rPr>
                <w:color w:val="auto"/>
                <w:highlight w:val="none"/>
              </w:rPr>
            </w:pPr>
            <w:r>
              <w:rPr>
                <w:color w:val="auto"/>
                <w:sz w:val="21"/>
                <w:highlight w:val="none"/>
              </w:rPr>
              <w:t>表格发放时要核对好服务对象的信息；表格回收时需要严格检查体检对象是否完成所有服务项目。</w:t>
            </w:r>
          </w:p>
        </w:tc>
      </w:tr>
      <w:tr w14:paraId="6FFBD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ABFE4">
            <w:pPr>
              <w:pStyle w:val="15"/>
              <w:jc w:val="center"/>
              <w:rPr>
                <w:color w:val="auto"/>
                <w:highlight w:val="none"/>
              </w:rPr>
            </w:pPr>
            <w:r>
              <w:rPr>
                <w:color w:val="auto"/>
                <w:sz w:val="21"/>
                <w:highlight w:val="none"/>
              </w:rPr>
              <w:t>3</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CDFBE">
            <w:pPr>
              <w:pStyle w:val="15"/>
              <w:jc w:val="center"/>
              <w:rPr>
                <w:color w:val="auto"/>
                <w:highlight w:val="none"/>
              </w:rPr>
            </w:pPr>
            <w:r>
              <w:rPr>
                <w:color w:val="auto"/>
                <w:sz w:val="21"/>
                <w:highlight w:val="none"/>
              </w:rPr>
              <w:t>维护现场秩序</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A3B5C">
            <w:pPr>
              <w:pStyle w:val="15"/>
              <w:jc w:val="center"/>
              <w:rPr>
                <w:color w:val="auto"/>
                <w:highlight w:val="none"/>
              </w:rPr>
            </w:pPr>
            <w:r>
              <w:rPr>
                <w:color w:val="auto"/>
                <w:sz w:val="21"/>
                <w:highlight w:val="none"/>
              </w:rPr>
              <w:t>6</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1E4C1">
            <w:pPr>
              <w:pStyle w:val="15"/>
              <w:rPr>
                <w:color w:val="auto"/>
                <w:highlight w:val="none"/>
              </w:rPr>
            </w:pPr>
            <w:r>
              <w:rPr>
                <w:color w:val="auto"/>
                <w:sz w:val="21"/>
                <w:highlight w:val="none"/>
              </w:rPr>
              <w:t>维护现场秩序</w:t>
            </w:r>
          </w:p>
        </w:tc>
      </w:tr>
      <w:tr w14:paraId="17206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3F737">
            <w:pPr>
              <w:pStyle w:val="15"/>
              <w:jc w:val="center"/>
              <w:rPr>
                <w:color w:val="auto"/>
                <w:highlight w:val="none"/>
              </w:rPr>
            </w:pPr>
            <w:r>
              <w:rPr>
                <w:color w:val="auto"/>
                <w:sz w:val="21"/>
                <w:highlight w:val="none"/>
              </w:rPr>
              <w:t>4</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5ADD1">
            <w:pPr>
              <w:pStyle w:val="15"/>
              <w:jc w:val="center"/>
              <w:rPr>
                <w:color w:val="auto"/>
                <w:highlight w:val="none"/>
              </w:rPr>
            </w:pPr>
            <w:r>
              <w:rPr>
                <w:color w:val="auto"/>
                <w:sz w:val="21"/>
                <w:highlight w:val="none"/>
              </w:rPr>
              <w:t>血压及基本信息、评估表信息的核对和采集</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F0814">
            <w:pPr>
              <w:pStyle w:val="15"/>
              <w:jc w:val="center"/>
              <w:rPr>
                <w:color w:val="auto"/>
                <w:highlight w:val="none"/>
              </w:rPr>
            </w:pPr>
            <w:r>
              <w:rPr>
                <w:color w:val="auto"/>
                <w:sz w:val="21"/>
                <w:highlight w:val="none"/>
              </w:rPr>
              <w:t>6</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1714C">
            <w:pPr>
              <w:pStyle w:val="15"/>
              <w:rPr>
                <w:color w:val="auto"/>
                <w:highlight w:val="none"/>
              </w:rPr>
            </w:pPr>
            <w:r>
              <w:rPr>
                <w:color w:val="auto"/>
                <w:sz w:val="21"/>
                <w:highlight w:val="none"/>
              </w:rPr>
              <w:t>工作人员为医务人员，双侧血压（提供至少8台电子血压计）。</w:t>
            </w:r>
          </w:p>
        </w:tc>
      </w:tr>
      <w:tr w14:paraId="245F6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A74D6">
            <w:pPr>
              <w:pStyle w:val="15"/>
              <w:jc w:val="center"/>
              <w:rPr>
                <w:color w:val="auto"/>
                <w:highlight w:val="none"/>
              </w:rPr>
            </w:pPr>
            <w:r>
              <w:rPr>
                <w:color w:val="auto"/>
                <w:sz w:val="21"/>
                <w:highlight w:val="none"/>
              </w:rPr>
              <w:t>5</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BD19F">
            <w:pPr>
              <w:pStyle w:val="15"/>
              <w:jc w:val="center"/>
              <w:rPr>
                <w:color w:val="auto"/>
                <w:highlight w:val="none"/>
              </w:rPr>
            </w:pPr>
            <w:r>
              <w:rPr>
                <w:color w:val="auto"/>
                <w:sz w:val="21"/>
                <w:highlight w:val="none"/>
              </w:rPr>
              <w:t>身高、体重、腰围</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663E3">
            <w:pPr>
              <w:pStyle w:val="15"/>
              <w:jc w:val="center"/>
              <w:rPr>
                <w:color w:val="auto"/>
                <w:highlight w:val="none"/>
              </w:rPr>
            </w:pPr>
            <w:r>
              <w:rPr>
                <w:color w:val="auto"/>
                <w:sz w:val="21"/>
                <w:highlight w:val="none"/>
              </w:rPr>
              <w:t>2</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6D71D">
            <w:pPr>
              <w:pStyle w:val="15"/>
              <w:rPr>
                <w:color w:val="auto"/>
                <w:highlight w:val="none"/>
              </w:rPr>
            </w:pPr>
            <w:r>
              <w:rPr>
                <w:color w:val="auto"/>
                <w:sz w:val="21"/>
                <w:highlight w:val="none"/>
              </w:rPr>
              <w:t>工作人员为医务人员（至少安排一名女性），提供至少两台电子身高体重称、2条腰围尺</w:t>
            </w:r>
          </w:p>
        </w:tc>
      </w:tr>
      <w:tr w14:paraId="3061F4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399F6">
            <w:pPr>
              <w:pStyle w:val="15"/>
              <w:jc w:val="center"/>
              <w:rPr>
                <w:color w:val="auto"/>
                <w:highlight w:val="none"/>
              </w:rPr>
            </w:pPr>
            <w:r>
              <w:rPr>
                <w:color w:val="auto"/>
                <w:sz w:val="21"/>
                <w:highlight w:val="none"/>
              </w:rPr>
              <w:t>6</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4081D">
            <w:pPr>
              <w:pStyle w:val="15"/>
              <w:jc w:val="center"/>
              <w:rPr>
                <w:color w:val="auto"/>
                <w:highlight w:val="none"/>
              </w:rPr>
            </w:pPr>
            <w:r>
              <w:rPr>
                <w:color w:val="auto"/>
                <w:sz w:val="21"/>
                <w:highlight w:val="none"/>
              </w:rPr>
              <w:t>五官科（含视力）</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99B63">
            <w:pPr>
              <w:pStyle w:val="15"/>
              <w:jc w:val="center"/>
              <w:rPr>
                <w:color w:val="auto"/>
                <w:highlight w:val="none"/>
              </w:rPr>
            </w:pPr>
            <w:r>
              <w:rPr>
                <w:color w:val="auto"/>
                <w:sz w:val="21"/>
                <w:highlight w:val="none"/>
              </w:rPr>
              <w:t>2</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5C36B">
            <w:pPr>
              <w:pStyle w:val="15"/>
              <w:rPr>
                <w:color w:val="auto"/>
                <w:highlight w:val="none"/>
              </w:rPr>
            </w:pPr>
            <w:r>
              <w:rPr>
                <w:color w:val="auto"/>
                <w:sz w:val="21"/>
                <w:highlight w:val="none"/>
              </w:rPr>
              <w:t>为老年人做耳、鼻、喉、口腔（包括齿列）、听力检查的工作人员应为医生，视力检查的工作人员可为医务人员；视力检查应采取标准视力表测试、五分记录法；提供至少2台视力表、至少两套耳鼻喉镜</w:t>
            </w:r>
          </w:p>
        </w:tc>
      </w:tr>
      <w:tr w14:paraId="4CA15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E5502">
            <w:pPr>
              <w:pStyle w:val="15"/>
              <w:jc w:val="center"/>
              <w:rPr>
                <w:color w:val="auto"/>
                <w:highlight w:val="none"/>
              </w:rPr>
            </w:pPr>
            <w:r>
              <w:rPr>
                <w:color w:val="auto"/>
                <w:sz w:val="21"/>
                <w:highlight w:val="none"/>
              </w:rPr>
              <w:t>7</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1784C">
            <w:pPr>
              <w:pStyle w:val="15"/>
              <w:jc w:val="center"/>
              <w:rPr>
                <w:color w:val="auto"/>
                <w:highlight w:val="none"/>
              </w:rPr>
            </w:pPr>
            <w:r>
              <w:rPr>
                <w:color w:val="auto"/>
                <w:sz w:val="21"/>
                <w:highlight w:val="none"/>
              </w:rPr>
              <w:t>中医体质辨识</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595C1">
            <w:pPr>
              <w:pStyle w:val="15"/>
              <w:jc w:val="center"/>
              <w:rPr>
                <w:color w:val="auto"/>
                <w:highlight w:val="none"/>
              </w:rPr>
            </w:pPr>
            <w:r>
              <w:rPr>
                <w:color w:val="auto"/>
                <w:sz w:val="21"/>
                <w:highlight w:val="none"/>
              </w:rPr>
              <w:t>6</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5D20D">
            <w:pPr>
              <w:pStyle w:val="15"/>
              <w:rPr>
                <w:color w:val="auto"/>
                <w:highlight w:val="none"/>
              </w:rPr>
            </w:pPr>
            <w:r>
              <w:rPr>
                <w:color w:val="auto"/>
                <w:sz w:val="21"/>
                <w:highlight w:val="none"/>
              </w:rPr>
              <w:t>最少需安排2名熟悉掌握中医体质辨识的中医师，其余可为其它医务人员</w:t>
            </w:r>
          </w:p>
        </w:tc>
      </w:tr>
      <w:tr w14:paraId="24643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89C13">
            <w:pPr>
              <w:pStyle w:val="15"/>
              <w:jc w:val="center"/>
              <w:rPr>
                <w:color w:val="auto"/>
                <w:highlight w:val="none"/>
              </w:rPr>
            </w:pPr>
            <w:r>
              <w:rPr>
                <w:color w:val="auto"/>
                <w:sz w:val="21"/>
                <w:highlight w:val="none"/>
              </w:rPr>
              <w:t>8</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635D5">
            <w:pPr>
              <w:pStyle w:val="15"/>
              <w:jc w:val="center"/>
              <w:rPr>
                <w:color w:val="auto"/>
                <w:highlight w:val="none"/>
              </w:rPr>
            </w:pPr>
            <w:r>
              <w:rPr>
                <w:color w:val="auto"/>
                <w:sz w:val="21"/>
                <w:highlight w:val="none"/>
              </w:rPr>
              <w:t>心电图</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9FC23">
            <w:pPr>
              <w:pStyle w:val="15"/>
              <w:jc w:val="center"/>
              <w:rPr>
                <w:color w:val="auto"/>
                <w:highlight w:val="none"/>
              </w:rPr>
            </w:pPr>
            <w:r>
              <w:rPr>
                <w:color w:val="auto"/>
                <w:sz w:val="21"/>
                <w:highlight w:val="none"/>
              </w:rPr>
              <w:t>3</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599DD">
            <w:pPr>
              <w:pStyle w:val="15"/>
              <w:rPr>
                <w:color w:val="auto"/>
                <w:highlight w:val="none"/>
              </w:rPr>
            </w:pPr>
            <w:r>
              <w:rPr>
                <w:color w:val="auto"/>
                <w:sz w:val="21"/>
                <w:highlight w:val="none"/>
              </w:rPr>
              <w:t>工作人员为医务人员，至少安排1名女性；提供至少3台十二导联心电图机</w:t>
            </w:r>
          </w:p>
        </w:tc>
      </w:tr>
      <w:tr w14:paraId="2C403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42219">
            <w:pPr>
              <w:pStyle w:val="15"/>
              <w:jc w:val="center"/>
              <w:rPr>
                <w:color w:val="auto"/>
                <w:highlight w:val="none"/>
              </w:rPr>
            </w:pPr>
            <w:r>
              <w:rPr>
                <w:color w:val="auto"/>
                <w:sz w:val="21"/>
                <w:highlight w:val="none"/>
              </w:rPr>
              <w:t>9</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1CEC0">
            <w:pPr>
              <w:pStyle w:val="15"/>
              <w:jc w:val="center"/>
              <w:rPr>
                <w:color w:val="auto"/>
                <w:highlight w:val="none"/>
              </w:rPr>
            </w:pPr>
            <w:r>
              <w:rPr>
                <w:color w:val="auto"/>
                <w:sz w:val="21"/>
                <w:highlight w:val="none"/>
              </w:rPr>
              <w:t>B超</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23BA0">
            <w:pPr>
              <w:pStyle w:val="15"/>
              <w:jc w:val="center"/>
              <w:rPr>
                <w:color w:val="auto"/>
                <w:highlight w:val="none"/>
              </w:rPr>
            </w:pPr>
            <w:r>
              <w:rPr>
                <w:color w:val="auto"/>
                <w:sz w:val="21"/>
                <w:highlight w:val="none"/>
              </w:rPr>
              <w:t>2</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EE606">
            <w:pPr>
              <w:pStyle w:val="15"/>
              <w:rPr>
                <w:color w:val="auto"/>
                <w:highlight w:val="none"/>
              </w:rPr>
            </w:pPr>
            <w:r>
              <w:rPr>
                <w:color w:val="auto"/>
                <w:sz w:val="21"/>
                <w:highlight w:val="none"/>
              </w:rPr>
              <w:t>工作人员为医生，至少1名女性医生；提供至少2台彩超设备</w:t>
            </w:r>
          </w:p>
        </w:tc>
      </w:tr>
      <w:tr w14:paraId="4595B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A9323">
            <w:pPr>
              <w:pStyle w:val="15"/>
              <w:jc w:val="center"/>
              <w:rPr>
                <w:color w:val="auto"/>
                <w:highlight w:val="none"/>
              </w:rPr>
            </w:pPr>
            <w:r>
              <w:rPr>
                <w:color w:val="auto"/>
                <w:sz w:val="21"/>
                <w:highlight w:val="none"/>
              </w:rPr>
              <w:t>10</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45226">
            <w:pPr>
              <w:pStyle w:val="15"/>
              <w:jc w:val="center"/>
              <w:rPr>
                <w:color w:val="auto"/>
                <w:highlight w:val="none"/>
              </w:rPr>
            </w:pPr>
            <w:r>
              <w:rPr>
                <w:color w:val="auto"/>
                <w:sz w:val="21"/>
                <w:highlight w:val="none"/>
              </w:rPr>
              <w:t>内外科</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09494">
            <w:pPr>
              <w:pStyle w:val="15"/>
              <w:jc w:val="center"/>
              <w:rPr>
                <w:color w:val="auto"/>
                <w:highlight w:val="none"/>
              </w:rPr>
            </w:pPr>
            <w:r>
              <w:rPr>
                <w:color w:val="auto"/>
                <w:sz w:val="21"/>
                <w:highlight w:val="none"/>
              </w:rPr>
              <w:t>2</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623E8">
            <w:pPr>
              <w:pStyle w:val="15"/>
              <w:rPr>
                <w:color w:val="auto"/>
                <w:highlight w:val="none"/>
              </w:rPr>
            </w:pPr>
            <w:r>
              <w:rPr>
                <w:color w:val="auto"/>
                <w:sz w:val="21"/>
                <w:highlight w:val="none"/>
              </w:rPr>
              <w:t>工作人员为医生，至少1名女性医生；提供至少2套听诊器等内科检查设备</w:t>
            </w:r>
          </w:p>
        </w:tc>
      </w:tr>
      <w:tr w14:paraId="7A46F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1051F">
            <w:pPr>
              <w:pStyle w:val="15"/>
              <w:jc w:val="center"/>
              <w:rPr>
                <w:color w:val="auto"/>
                <w:highlight w:val="none"/>
              </w:rPr>
            </w:pPr>
            <w:r>
              <w:rPr>
                <w:color w:val="auto"/>
                <w:sz w:val="21"/>
                <w:highlight w:val="none"/>
              </w:rPr>
              <w:t>11</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18E3E">
            <w:pPr>
              <w:pStyle w:val="15"/>
              <w:jc w:val="center"/>
              <w:rPr>
                <w:color w:val="auto"/>
                <w:highlight w:val="none"/>
              </w:rPr>
            </w:pPr>
            <w:r>
              <w:rPr>
                <w:color w:val="auto"/>
                <w:sz w:val="21"/>
                <w:highlight w:val="none"/>
              </w:rPr>
              <w:t>抽血</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A0FEA">
            <w:pPr>
              <w:pStyle w:val="15"/>
              <w:jc w:val="center"/>
              <w:rPr>
                <w:color w:val="auto"/>
                <w:highlight w:val="none"/>
              </w:rPr>
            </w:pPr>
            <w:r>
              <w:rPr>
                <w:color w:val="auto"/>
                <w:sz w:val="21"/>
                <w:highlight w:val="none"/>
              </w:rPr>
              <w:t>3</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9D351">
            <w:pPr>
              <w:pStyle w:val="15"/>
              <w:rPr>
                <w:color w:val="auto"/>
                <w:highlight w:val="none"/>
              </w:rPr>
            </w:pPr>
            <w:r>
              <w:rPr>
                <w:color w:val="auto"/>
                <w:sz w:val="21"/>
                <w:highlight w:val="none"/>
              </w:rPr>
              <w:t>工作人员必须为会熟练抽血的执业护士</w:t>
            </w:r>
          </w:p>
        </w:tc>
      </w:tr>
      <w:tr w14:paraId="7F97F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DCBF5">
            <w:pPr>
              <w:pStyle w:val="15"/>
              <w:jc w:val="center"/>
              <w:rPr>
                <w:color w:val="auto"/>
                <w:highlight w:val="none"/>
              </w:rPr>
            </w:pPr>
            <w:r>
              <w:rPr>
                <w:color w:val="auto"/>
                <w:sz w:val="21"/>
                <w:highlight w:val="none"/>
              </w:rPr>
              <w:t>12</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59938">
            <w:pPr>
              <w:pStyle w:val="15"/>
              <w:jc w:val="center"/>
              <w:rPr>
                <w:color w:val="auto"/>
                <w:highlight w:val="none"/>
              </w:rPr>
            </w:pPr>
            <w:r>
              <w:rPr>
                <w:color w:val="auto"/>
                <w:sz w:val="21"/>
                <w:highlight w:val="none"/>
              </w:rPr>
              <w:t>尿常规</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93DC2">
            <w:pPr>
              <w:pStyle w:val="15"/>
              <w:jc w:val="center"/>
              <w:rPr>
                <w:color w:val="auto"/>
                <w:highlight w:val="none"/>
              </w:rPr>
            </w:pPr>
            <w:r>
              <w:rPr>
                <w:color w:val="auto"/>
                <w:sz w:val="21"/>
                <w:highlight w:val="none"/>
              </w:rPr>
              <w:t>1</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D23F">
            <w:pPr>
              <w:pStyle w:val="15"/>
              <w:rPr>
                <w:color w:val="auto"/>
                <w:highlight w:val="none"/>
              </w:rPr>
            </w:pPr>
            <w:r>
              <w:rPr>
                <w:color w:val="auto"/>
                <w:sz w:val="21"/>
                <w:highlight w:val="none"/>
              </w:rPr>
              <w:t>工作人员为护士或检验师</w:t>
            </w:r>
          </w:p>
        </w:tc>
      </w:tr>
      <w:tr w14:paraId="242B6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629B8">
            <w:pPr>
              <w:pStyle w:val="15"/>
              <w:jc w:val="center"/>
              <w:rPr>
                <w:color w:val="auto"/>
                <w:highlight w:val="none"/>
              </w:rPr>
            </w:pPr>
            <w:r>
              <w:rPr>
                <w:color w:val="auto"/>
                <w:sz w:val="21"/>
                <w:highlight w:val="none"/>
              </w:rPr>
              <w:t>13</w:t>
            </w:r>
          </w:p>
        </w:tc>
        <w:tc>
          <w:tcPr>
            <w:tcW w:w="2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50E9B">
            <w:pPr>
              <w:pStyle w:val="15"/>
              <w:jc w:val="center"/>
              <w:rPr>
                <w:color w:val="auto"/>
                <w:highlight w:val="none"/>
              </w:rPr>
            </w:pPr>
            <w:r>
              <w:rPr>
                <w:color w:val="auto"/>
                <w:sz w:val="21"/>
                <w:highlight w:val="none"/>
              </w:rPr>
              <w:t>现场健康咨询</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BAB97">
            <w:pPr>
              <w:pStyle w:val="15"/>
              <w:jc w:val="center"/>
              <w:rPr>
                <w:color w:val="auto"/>
                <w:highlight w:val="none"/>
              </w:rPr>
            </w:pPr>
            <w:r>
              <w:rPr>
                <w:color w:val="auto"/>
                <w:sz w:val="21"/>
                <w:highlight w:val="none"/>
              </w:rPr>
              <w:t>1</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CA274">
            <w:pPr>
              <w:pStyle w:val="15"/>
              <w:rPr>
                <w:color w:val="auto"/>
                <w:highlight w:val="none"/>
              </w:rPr>
            </w:pPr>
            <w:r>
              <w:rPr>
                <w:color w:val="auto"/>
                <w:sz w:val="21"/>
                <w:highlight w:val="none"/>
              </w:rPr>
              <w:t>工作人员为医生</w:t>
            </w:r>
          </w:p>
        </w:tc>
      </w:tr>
      <w:tr w14:paraId="0E6CE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1EC7D">
            <w:pPr>
              <w:pStyle w:val="15"/>
              <w:jc w:val="center"/>
              <w:rPr>
                <w:color w:val="auto"/>
                <w:highlight w:val="none"/>
              </w:rPr>
            </w:pPr>
            <w:r>
              <w:rPr>
                <w:color w:val="auto"/>
                <w:sz w:val="21"/>
                <w:highlight w:val="none"/>
              </w:rPr>
              <w:t>合计</w:t>
            </w:r>
          </w:p>
        </w:tc>
        <w:tc>
          <w:tcPr>
            <w:tcW w:w="7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6AC77">
            <w:pPr>
              <w:pStyle w:val="15"/>
              <w:jc w:val="center"/>
              <w:rPr>
                <w:color w:val="auto"/>
                <w:highlight w:val="none"/>
              </w:rPr>
            </w:pPr>
            <w:r>
              <w:rPr>
                <w:color w:val="auto"/>
                <w:sz w:val="21"/>
                <w:highlight w:val="none"/>
              </w:rPr>
              <w:t>37</w:t>
            </w:r>
          </w:p>
        </w:tc>
        <w:tc>
          <w:tcPr>
            <w:tcW w:w="4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CC587">
            <w:pPr>
              <w:pStyle w:val="15"/>
              <w:rPr>
                <w:color w:val="auto"/>
                <w:highlight w:val="none"/>
              </w:rPr>
            </w:pPr>
          </w:p>
        </w:tc>
      </w:tr>
    </w:tbl>
    <w:p w14:paraId="10BD1E62">
      <w:pPr>
        <w:pStyle w:val="15"/>
        <w:numPr>
          <w:ilvl w:val="0"/>
          <w:numId w:val="11"/>
        </w:numPr>
        <w:ind w:left="425" w:leftChars="0" w:hanging="425" w:firstLineChars="0"/>
        <w:rPr>
          <w:color w:val="auto"/>
          <w:sz w:val="21"/>
          <w:highlight w:val="none"/>
        </w:rPr>
      </w:pPr>
      <w:r>
        <w:rPr>
          <w:rFonts w:hint="eastAsia"/>
          <w:color w:val="auto"/>
          <w:sz w:val="21"/>
          <w:highlight w:val="none"/>
          <w:lang w:eastAsia="zh-CN"/>
        </w:rPr>
        <w:t>成交供应商</w:t>
      </w:r>
      <w:r>
        <w:rPr>
          <w:color w:val="auto"/>
          <w:sz w:val="21"/>
          <w:highlight w:val="none"/>
        </w:rPr>
        <w:t>须具备外出体检的资质和能力，并且能够承担一天300人及以上规模体检。</w:t>
      </w:r>
    </w:p>
    <w:p w14:paraId="422180D9">
      <w:pPr>
        <w:pStyle w:val="15"/>
        <w:numPr>
          <w:ilvl w:val="0"/>
          <w:numId w:val="11"/>
        </w:numPr>
        <w:ind w:left="425" w:leftChars="0" w:hanging="425" w:firstLineChars="0"/>
        <w:rPr>
          <w:color w:val="auto"/>
          <w:sz w:val="21"/>
          <w:highlight w:val="none"/>
        </w:rPr>
      </w:pPr>
      <w:r>
        <w:rPr>
          <w:rFonts w:hint="eastAsia"/>
          <w:color w:val="auto"/>
          <w:sz w:val="21"/>
          <w:highlight w:val="none"/>
          <w:lang w:eastAsia="zh-CN"/>
        </w:rPr>
        <w:t>成交供应商</w:t>
      </w:r>
      <w:r>
        <w:rPr>
          <w:color w:val="auto"/>
          <w:sz w:val="21"/>
          <w:highlight w:val="none"/>
        </w:rPr>
        <w:t>根据采购人的要求制作健康体检表、体检相关注意事项说明书、体检流程宣传单,并负责现场体检单派发和登记，安排充足的工作人员维持服务现场的秩序，服务时需至少提前一个工作日进行服务场地布置和流程安排等工作，保证服务现场秩序井然有序，严防发生安全事故，因</w:t>
      </w:r>
      <w:r>
        <w:rPr>
          <w:rFonts w:hint="eastAsia"/>
          <w:color w:val="auto"/>
          <w:sz w:val="21"/>
          <w:highlight w:val="none"/>
          <w:lang w:eastAsia="zh-CN"/>
        </w:rPr>
        <w:t>成交供应商</w:t>
      </w:r>
      <w:r>
        <w:rPr>
          <w:color w:val="auto"/>
          <w:sz w:val="21"/>
          <w:highlight w:val="none"/>
        </w:rPr>
        <w:t>操作失当导致发生重大安全事故的，由</w:t>
      </w:r>
      <w:r>
        <w:rPr>
          <w:rFonts w:hint="eastAsia"/>
          <w:color w:val="auto"/>
          <w:sz w:val="21"/>
          <w:highlight w:val="none"/>
          <w:lang w:eastAsia="zh-CN"/>
        </w:rPr>
        <w:t>成交供应商</w:t>
      </w:r>
      <w:r>
        <w:rPr>
          <w:color w:val="auto"/>
          <w:sz w:val="21"/>
          <w:highlight w:val="none"/>
        </w:rPr>
        <w:t>承担相应责任。</w:t>
      </w:r>
    </w:p>
    <w:p w14:paraId="158CBBEA">
      <w:pPr>
        <w:pStyle w:val="15"/>
        <w:numPr>
          <w:ilvl w:val="0"/>
          <w:numId w:val="11"/>
        </w:numPr>
        <w:ind w:left="425" w:leftChars="0" w:hanging="425" w:firstLineChars="0"/>
        <w:rPr>
          <w:color w:val="auto"/>
          <w:sz w:val="21"/>
          <w:highlight w:val="none"/>
        </w:rPr>
      </w:pPr>
      <w:r>
        <w:rPr>
          <w:color w:val="auto"/>
          <w:sz w:val="21"/>
          <w:highlight w:val="none"/>
        </w:rPr>
        <w:t>生物样本（血液、尿液等）需严格按照规范贮存运送，及时检验，避免样本失效影响体检结果并保证检验结果全部真实有效，不得造假；</w:t>
      </w:r>
      <w:r>
        <w:rPr>
          <w:rFonts w:hint="eastAsia"/>
          <w:color w:val="auto"/>
          <w:sz w:val="21"/>
          <w:highlight w:val="none"/>
          <w:lang w:eastAsia="zh-CN"/>
        </w:rPr>
        <w:t>成交供应商</w:t>
      </w:r>
      <w:r>
        <w:rPr>
          <w:color w:val="auto"/>
          <w:sz w:val="21"/>
          <w:highlight w:val="none"/>
        </w:rPr>
        <w:t>存在伪造检验结果情形的，</w:t>
      </w:r>
      <w:r>
        <w:rPr>
          <w:rFonts w:hint="eastAsia"/>
          <w:color w:val="auto"/>
          <w:sz w:val="21"/>
          <w:highlight w:val="none"/>
          <w:lang w:eastAsia="zh-CN"/>
        </w:rPr>
        <w:t>成交供应商</w:t>
      </w:r>
      <w:r>
        <w:rPr>
          <w:color w:val="auto"/>
          <w:sz w:val="21"/>
          <w:highlight w:val="none"/>
        </w:rPr>
        <w:t>须向采购人支付服务总金额的80%作为违约金，并承担违约行为的法律责任。</w:t>
      </w:r>
    </w:p>
    <w:p w14:paraId="0DC87544">
      <w:pPr>
        <w:pStyle w:val="15"/>
        <w:numPr>
          <w:ilvl w:val="0"/>
          <w:numId w:val="11"/>
        </w:numPr>
        <w:ind w:left="425" w:leftChars="0" w:hanging="425" w:firstLineChars="0"/>
        <w:rPr>
          <w:color w:val="auto"/>
          <w:sz w:val="21"/>
          <w:highlight w:val="none"/>
        </w:rPr>
      </w:pPr>
      <w:r>
        <w:rPr>
          <w:rFonts w:hint="eastAsia"/>
          <w:color w:val="auto"/>
          <w:sz w:val="21"/>
          <w:highlight w:val="none"/>
          <w:lang w:eastAsia="zh-CN"/>
        </w:rPr>
        <w:t>成交供应商</w:t>
      </w:r>
      <w:r>
        <w:rPr>
          <w:color w:val="auto"/>
          <w:sz w:val="21"/>
          <w:highlight w:val="none"/>
        </w:rPr>
        <w:t>应具备体检结果异常的升级复查、检后结果跟踪、检后个性化服务能力；</w:t>
      </w:r>
      <w:r>
        <w:rPr>
          <w:rFonts w:hint="eastAsia"/>
          <w:color w:val="auto"/>
          <w:sz w:val="21"/>
          <w:highlight w:val="none"/>
          <w:lang w:eastAsia="zh-CN"/>
        </w:rPr>
        <w:t>成交供应商</w:t>
      </w:r>
      <w:r>
        <w:rPr>
          <w:color w:val="auto"/>
          <w:sz w:val="21"/>
          <w:highlight w:val="none"/>
        </w:rPr>
        <w:t>应提供检后特殊问题处理（如：特殊或重大健康问题提供绿色就诊及优先就诊服务等）。</w:t>
      </w:r>
    </w:p>
    <w:p w14:paraId="382EEF67">
      <w:pPr>
        <w:pStyle w:val="15"/>
        <w:rPr>
          <w:b/>
          <w:color w:val="auto"/>
          <w:sz w:val="21"/>
          <w:highlight w:val="none"/>
        </w:rPr>
      </w:pPr>
    </w:p>
    <w:p w14:paraId="1D155232">
      <w:pPr>
        <w:pStyle w:val="15"/>
        <w:rPr>
          <w:color w:val="auto"/>
          <w:highlight w:val="none"/>
        </w:rPr>
      </w:pPr>
      <w:r>
        <w:rPr>
          <w:b/>
          <w:color w:val="auto"/>
          <w:sz w:val="21"/>
          <w:highlight w:val="none"/>
        </w:rPr>
        <w:t>九、体检结果派发、报告解读及检后服务</w:t>
      </w:r>
    </w:p>
    <w:p w14:paraId="172BCFE5">
      <w:pPr>
        <w:pStyle w:val="15"/>
        <w:numPr>
          <w:ilvl w:val="0"/>
          <w:numId w:val="12"/>
        </w:numPr>
        <w:ind w:left="425" w:leftChars="0" w:hanging="425" w:firstLineChars="0"/>
        <w:jc w:val="both"/>
        <w:rPr>
          <w:color w:val="auto"/>
          <w:highlight w:val="none"/>
        </w:rPr>
      </w:pPr>
      <w:r>
        <w:rPr>
          <w:rFonts w:hint="eastAsia"/>
          <w:color w:val="auto"/>
          <w:sz w:val="21"/>
          <w:highlight w:val="none"/>
          <w:lang w:eastAsia="zh-CN"/>
        </w:rPr>
        <w:t>成交供应商</w:t>
      </w:r>
      <w:r>
        <w:rPr>
          <w:color w:val="auto"/>
          <w:sz w:val="21"/>
          <w:highlight w:val="none"/>
        </w:rPr>
        <w:t>应提供纸质版和电子版两种版本的体检报告。</w:t>
      </w:r>
      <w:r>
        <w:rPr>
          <w:rFonts w:hint="eastAsia"/>
          <w:color w:val="auto"/>
          <w:sz w:val="21"/>
          <w:highlight w:val="none"/>
          <w:lang w:eastAsia="zh-CN"/>
        </w:rPr>
        <w:t>成交供应商</w:t>
      </w:r>
      <w:r>
        <w:rPr>
          <w:color w:val="auto"/>
          <w:sz w:val="21"/>
          <w:highlight w:val="none"/>
        </w:rPr>
        <w:t>将纸质版体检报告，连同检验检查结果、健康评价、中医体质辨识体质结果、中医穴位及饮食指导意见一同装订入袋密封后发给相应的老年人；电子版体检报告供采购人留存查验。</w:t>
      </w:r>
      <w:r>
        <w:rPr>
          <w:rFonts w:hint="eastAsia"/>
          <w:color w:val="auto"/>
          <w:sz w:val="21"/>
          <w:highlight w:val="none"/>
          <w:lang w:eastAsia="zh-CN"/>
        </w:rPr>
        <w:t>成交供应商</w:t>
      </w:r>
      <w:r>
        <w:rPr>
          <w:color w:val="auto"/>
          <w:sz w:val="21"/>
          <w:highlight w:val="none"/>
        </w:rPr>
        <w:t>未能提供上述资料或本次体检老年人未能收到上述资料或未获得健康指导的，对该老年人提供的服务无效，</w:t>
      </w:r>
      <w:r>
        <w:rPr>
          <w:rFonts w:hint="eastAsia"/>
          <w:color w:val="auto"/>
          <w:sz w:val="21"/>
          <w:highlight w:val="none"/>
          <w:lang w:eastAsia="zh-CN"/>
        </w:rPr>
        <w:t>成交供应商</w:t>
      </w:r>
      <w:r>
        <w:rPr>
          <w:color w:val="auto"/>
          <w:sz w:val="21"/>
          <w:highlight w:val="none"/>
        </w:rPr>
        <w:t>需重新安排为该老年人提供服务。</w:t>
      </w:r>
    </w:p>
    <w:p w14:paraId="745C65FC">
      <w:pPr>
        <w:pStyle w:val="15"/>
        <w:numPr>
          <w:ilvl w:val="0"/>
          <w:numId w:val="12"/>
        </w:numPr>
        <w:ind w:left="425" w:leftChars="0" w:hanging="425" w:firstLineChars="0"/>
        <w:jc w:val="both"/>
        <w:rPr>
          <w:color w:val="auto"/>
          <w:highlight w:val="none"/>
        </w:rPr>
      </w:pPr>
      <w:r>
        <w:rPr>
          <w:rFonts w:hint="eastAsia"/>
          <w:color w:val="auto"/>
          <w:sz w:val="21"/>
          <w:highlight w:val="none"/>
          <w:lang w:eastAsia="zh-CN"/>
        </w:rPr>
        <w:t>成交供应商</w:t>
      </w:r>
      <w:r>
        <w:rPr>
          <w:color w:val="auto"/>
          <w:sz w:val="21"/>
          <w:highlight w:val="none"/>
        </w:rPr>
        <w:t>需把中医体质辨识体质结果、中医穴位及饮食指导等告知参加中医药管理服务的老年人，派发中医保健处方。</w:t>
      </w:r>
    </w:p>
    <w:p w14:paraId="02A44DA9">
      <w:pPr>
        <w:pStyle w:val="15"/>
        <w:numPr>
          <w:ilvl w:val="0"/>
          <w:numId w:val="12"/>
        </w:numPr>
        <w:ind w:left="425" w:leftChars="0" w:hanging="425" w:firstLineChars="0"/>
        <w:jc w:val="both"/>
        <w:rPr>
          <w:color w:val="auto"/>
          <w:highlight w:val="none"/>
        </w:rPr>
      </w:pPr>
      <w:r>
        <w:rPr>
          <w:color w:val="auto"/>
          <w:sz w:val="21"/>
          <w:highlight w:val="none"/>
        </w:rPr>
        <w:t>体检报告出具后，</w:t>
      </w:r>
      <w:r>
        <w:rPr>
          <w:rFonts w:hint="eastAsia"/>
          <w:color w:val="auto"/>
          <w:sz w:val="21"/>
          <w:highlight w:val="none"/>
          <w:lang w:eastAsia="zh-CN"/>
        </w:rPr>
        <w:t>成交供应商</w:t>
      </w:r>
      <w:r>
        <w:rPr>
          <w:color w:val="auto"/>
          <w:sz w:val="21"/>
          <w:highlight w:val="none"/>
        </w:rPr>
        <w:t>需安排人员对结果进行派发，并至少安排2名具有5年及以上临床经验或中级及以上职称的临床专业医生，为老年人解读体检报告。完成报告解读后需做好登记，以备随时查验。在202</w:t>
      </w:r>
      <w:r>
        <w:rPr>
          <w:rFonts w:hint="eastAsia"/>
          <w:color w:val="auto"/>
          <w:sz w:val="21"/>
          <w:highlight w:val="none"/>
          <w:lang w:val="en-US" w:eastAsia="zh-CN"/>
        </w:rPr>
        <w:t>6</w:t>
      </w:r>
      <w:r>
        <w:rPr>
          <w:color w:val="auto"/>
          <w:sz w:val="21"/>
          <w:highlight w:val="none"/>
        </w:rPr>
        <w:t>年度中山市基本公共卫生服务项目绩效评价前如有老年人的体检报告未完成派发或未解读的，则该老年人的本次服务视为无效。</w:t>
      </w:r>
    </w:p>
    <w:p w14:paraId="3CD8ED60">
      <w:pPr>
        <w:pStyle w:val="15"/>
        <w:numPr>
          <w:ilvl w:val="0"/>
          <w:numId w:val="12"/>
        </w:numPr>
        <w:ind w:left="425" w:leftChars="0" w:hanging="425" w:firstLineChars="0"/>
        <w:rPr>
          <w:color w:val="auto"/>
          <w:highlight w:val="none"/>
        </w:rPr>
      </w:pPr>
      <w:r>
        <w:rPr>
          <w:color w:val="auto"/>
          <w:sz w:val="21"/>
          <w:highlight w:val="none"/>
        </w:rPr>
        <w:t>体检报告需要在体检之日起15个工作日内出具、发放及解读。服务数据在完成全部服务项目后一个月内严格按采购人要求录入/上传到中山市公共卫生信息平台，并按《国家基本公共卫生服务规范》第三版要求进行评价。如对接中山市公共卫生信息平台产生费用，由</w:t>
      </w:r>
      <w:r>
        <w:rPr>
          <w:rFonts w:hint="eastAsia"/>
          <w:color w:val="auto"/>
          <w:sz w:val="21"/>
          <w:highlight w:val="none"/>
          <w:lang w:eastAsia="zh-CN"/>
        </w:rPr>
        <w:t>成交供应商</w:t>
      </w:r>
      <w:r>
        <w:rPr>
          <w:color w:val="auto"/>
          <w:sz w:val="21"/>
          <w:highlight w:val="none"/>
        </w:rPr>
        <w:t>全额承担。</w:t>
      </w:r>
    </w:p>
    <w:p w14:paraId="640C44F9">
      <w:pPr>
        <w:pStyle w:val="15"/>
        <w:rPr>
          <w:b/>
          <w:color w:val="auto"/>
          <w:sz w:val="21"/>
          <w:highlight w:val="none"/>
        </w:rPr>
      </w:pPr>
    </w:p>
    <w:p w14:paraId="6AF42C8A">
      <w:pPr>
        <w:pStyle w:val="15"/>
        <w:rPr>
          <w:color w:val="auto"/>
          <w:highlight w:val="none"/>
        </w:rPr>
      </w:pPr>
      <w:r>
        <w:rPr>
          <w:b/>
          <w:color w:val="auto"/>
          <w:sz w:val="21"/>
          <w:highlight w:val="none"/>
        </w:rPr>
        <w:t>十、报价要求</w:t>
      </w:r>
    </w:p>
    <w:p w14:paraId="58B57D6A">
      <w:pPr>
        <w:pStyle w:val="15"/>
        <w:ind w:firstLine="480"/>
        <w:rPr>
          <w:color w:val="auto"/>
          <w:highlight w:val="none"/>
        </w:rPr>
      </w:pPr>
      <w:r>
        <w:rPr>
          <w:color w:val="auto"/>
          <w:sz w:val="21"/>
          <w:highlight w:val="none"/>
        </w:rPr>
        <w:t>（1）老年人健康管理服务单价要求</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70"/>
        <w:gridCol w:w="3574"/>
        <w:gridCol w:w="3062"/>
      </w:tblGrid>
      <w:tr w14:paraId="0F1FE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D7CC9E">
            <w:pPr>
              <w:pStyle w:val="15"/>
              <w:jc w:val="center"/>
              <w:rPr>
                <w:color w:val="auto"/>
                <w:highlight w:val="none"/>
              </w:rPr>
            </w:pPr>
            <w:r>
              <w:rPr>
                <w:color w:val="auto"/>
                <w:sz w:val="21"/>
                <w:highlight w:val="none"/>
              </w:rPr>
              <w:t>序号</w:t>
            </w:r>
          </w:p>
        </w:tc>
        <w:tc>
          <w:tcPr>
            <w:tcW w:w="35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4BC563">
            <w:pPr>
              <w:pStyle w:val="15"/>
              <w:jc w:val="center"/>
              <w:rPr>
                <w:color w:val="auto"/>
                <w:highlight w:val="none"/>
              </w:rPr>
            </w:pPr>
            <w:r>
              <w:rPr>
                <w:color w:val="auto"/>
                <w:sz w:val="21"/>
                <w:highlight w:val="none"/>
              </w:rPr>
              <w:t>名称</w:t>
            </w:r>
          </w:p>
        </w:tc>
        <w:tc>
          <w:tcPr>
            <w:tcW w:w="30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79B020">
            <w:pPr>
              <w:pStyle w:val="15"/>
              <w:jc w:val="center"/>
              <w:rPr>
                <w:color w:val="auto"/>
                <w:highlight w:val="none"/>
              </w:rPr>
            </w:pPr>
            <w:r>
              <w:rPr>
                <w:color w:val="auto"/>
                <w:sz w:val="21"/>
                <w:highlight w:val="none"/>
              </w:rPr>
              <w:t>单价最高限价（元/人）</w:t>
            </w:r>
          </w:p>
        </w:tc>
      </w:tr>
      <w:tr w14:paraId="44C4B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DEC71">
            <w:pPr>
              <w:pStyle w:val="15"/>
              <w:jc w:val="center"/>
              <w:rPr>
                <w:color w:val="auto"/>
                <w:highlight w:val="none"/>
              </w:rPr>
            </w:pPr>
            <w:r>
              <w:rPr>
                <w:color w:val="auto"/>
                <w:sz w:val="21"/>
                <w:highlight w:val="none"/>
              </w:rPr>
              <w:t>1</w:t>
            </w:r>
          </w:p>
        </w:tc>
        <w:tc>
          <w:tcPr>
            <w:tcW w:w="3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B9DED">
            <w:pPr>
              <w:pStyle w:val="15"/>
              <w:jc w:val="center"/>
              <w:rPr>
                <w:color w:val="auto"/>
                <w:highlight w:val="none"/>
              </w:rPr>
            </w:pPr>
            <w:r>
              <w:rPr>
                <w:color w:val="auto"/>
                <w:sz w:val="21"/>
                <w:highlight w:val="none"/>
              </w:rPr>
              <w:t>65岁及以上老年人体检服务项目</w:t>
            </w:r>
          </w:p>
        </w:tc>
        <w:tc>
          <w:tcPr>
            <w:tcW w:w="30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23E83">
            <w:pPr>
              <w:pStyle w:val="15"/>
              <w:jc w:val="center"/>
              <w:rPr>
                <w:rFonts w:hint="default" w:eastAsiaTheme="minorEastAsia"/>
                <w:color w:val="auto"/>
                <w:highlight w:val="none"/>
                <w:lang w:val="en-US" w:eastAsia="zh-CN"/>
              </w:rPr>
            </w:pPr>
            <w:r>
              <w:rPr>
                <w:rFonts w:hint="eastAsia"/>
                <w:color w:val="auto"/>
                <w:highlight w:val="none"/>
                <w:lang w:val="en-US" w:eastAsia="zh-CN"/>
              </w:rPr>
              <w:t>296.00</w:t>
            </w:r>
          </w:p>
        </w:tc>
      </w:tr>
    </w:tbl>
    <w:p w14:paraId="3A2DCF04">
      <w:pPr>
        <w:pStyle w:val="15"/>
        <w:ind w:firstLine="420"/>
        <w:rPr>
          <w:color w:val="auto"/>
          <w:highlight w:val="none"/>
        </w:rPr>
      </w:pPr>
      <w:r>
        <w:rPr>
          <w:color w:val="auto"/>
          <w:sz w:val="21"/>
          <w:highlight w:val="none"/>
        </w:rPr>
        <w:t>（2）本项目的老年人健康管理服务按统一的“磋商折扣率”进行报价，供应商应综合考虑经济增长、物价上涨及自身成本等因素确定磋商折扣率，有效报价范围：0％≤磋商折扣率≤100％，且不能为负数，不符合要求的报价视为无效报价，按无效投标处理；供应商所报的折扣率将作为采购人在服务期间款项计算依据。</w:t>
      </w:r>
    </w:p>
    <w:p w14:paraId="42BD13DC">
      <w:pPr>
        <w:pStyle w:val="15"/>
        <w:ind w:firstLine="420"/>
        <w:rPr>
          <w:color w:val="auto"/>
          <w:highlight w:val="none"/>
        </w:rPr>
      </w:pPr>
      <w:r>
        <w:rPr>
          <w:color w:val="auto"/>
          <w:sz w:val="21"/>
          <w:highlight w:val="none"/>
        </w:rPr>
        <w:t>（3）</w:t>
      </w:r>
      <w:r>
        <w:rPr>
          <w:rFonts w:hint="eastAsia"/>
          <w:color w:val="auto"/>
          <w:sz w:val="21"/>
          <w:highlight w:val="none"/>
          <w:lang w:eastAsia="zh-CN"/>
        </w:rPr>
        <w:t>成交</w:t>
      </w:r>
      <w:r>
        <w:rPr>
          <w:color w:val="auto"/>
          <w:sz w:val="21"/>
          <w:highlight w:val="none"/>
        </w:rPr>
        <w:t>单价的确定（四舍五入取小数点后2位）：</w:t>
      </w:r>
    </w:p>
    <w:p w14:paraId="6D65D1E4">
      <w:pPr>
        <w:pStyle w:val="15"/>
        <w:ind w:firstLine="420"/>
        <w:rPr>
          <w:color w:val="auto"/>
          <w:highlight w:val="none"/>
        </w:rPr>
      </w:pPr>
      <w:r>
        <w:rPr>
          <w:color w:val="auto"/>
          <w:sz w:val="21"/>
          <w:highlight w:val="none"/>
        </w:rPr>
        <w:t>老年人健康管理服务=单价最高限价×磋商折扣率。</w:t>
      </w:r>
    </w:p>
    <w:p w14:paraId="543E102C">
      <w:pPr>
        <w:pStyle w:val="15"/>
        <w:ind w:firstLine="420"/>
        <w:rPr>
          <w:color w:val="auto"/>
          <w:highlight w:val="none"/>
        </w:rPr>
      </w:pPr>
      <w:r>
        <w:rPr>
          <w:color w:val="auto"/>
          <w:sz w:val="21"/>
          <w:highlight w:val="none"/>
        </w:rPr>
        <w:t>举例：老年人健康管理服务的</w:t>
      </w:r>
      <w:r>
        <w:rPr>
          <w:rFonts w:hint="eastAsia"/>
          <w:color w:val="auto"/>
          <w:sz w:val="21"/>
          <w:highlight w:val="none"/>
          <w:lang w:eastAsia="zh-CN"/>
        </w:rPr>
        <w:t>单</w:t>
      </w:r>
      <w:r>
        <w:rPr>
          <w:color w:val="auto"/>
          <w:sz w:val="21"/>
          <w:highlight w:val="none"/>
        </w:rPr>
        <w:t>价最高限价为</w:t>
      </w:r>
      <w:r>
        <w:rPr>
          <w:rFonts w:hint="eastAsia"/>
          <w:color w:val="auto"/>
          <w:sz w:val="21"/>
          <w:highlight w:val="none"/>
          <w:lang w:val="en-US" w:eastAsia="zh-CN"/>
        </w:rPr>
        <w:t>296.00</w:t>
      </w:r>
      <w:r>
        <w:rPr>
          <w:color w:val="auto"/>
          <w:sz w:val="21"/>
          <w:highlight w:val="none"/>
        </w:rPr>
        <w:t>（元/人），磋商折扣率为90%，</w:t>
      </w:r>
      <w:r>
        <w:rPr>
          <w:rFonts w:hint="eastAsia"/>
          <w:color w:val="auto"/>
          <w:sz w:val="21"/>
          <w:highlight w:val="none"/>
          <w:lang w:eastAsia="zh-CN"/>
        </w:rPr>
        <w:t>成交</w:t>
      </w:r>
      <w:r>
        <w:rPr>
          <w:color w:val="auto"/>
          <w:sz w:val="21"/>
          <w:highlight w:val="none"/>
        </w:rPr>
        <w:t>单价（元/人）：</w:t>
      </w:r>
      <w:r>
        <w:rPr>
          <w:rFonts w:hint="eastAsia"/>
          <w:color w:val="auto"/>
          <w:sz w:val="21"/>
          <w:highlight w:val="none"/>
          <w:lang w:val="en-US" w:eastAsia="zh-CN"/>
        </w:rPr>
        <w:t>296.00</w:t>
      </w:r>
      <w:r>
        <w:rPr>
          <w:color w:val="auto"/>
          <w:sz w:val="21"/>
          <w:highlight w:val="none"/>
        </w:rPr>
        <w:t>×90%=</w:t>
      </w:r>
      <w:r>
        <w:rPr>
          <w:rFonts w:hint="eastAsia"/>
          <w:color w:val="auto"/>
          <w:sz w:val="21"/>
          <w:highlight w:val="none"/>
          <w:lang w:val="en-US" w:eastAsia="zh-CN"/>
        </w:rPr>
        <w:t>266.40</w:t>
      </w:r>
      <w:r>
        <w:rPr>
          <w:rFonts w:hint="eastAsia"/>
          <w:color w:val="auto"/>
          <w:sz w:val="21"/>
          <w:highlight w:val="none"/>
          <w:lang w:eastAsia="zh-CN"/>
        </w:rPr>
        <w:t>（元）</w:t>
      </w:r>
      <w:r>
        <w:rPr>
          <w:color w:val="auto"/>
          <w:sz w:val="21"/>
          <w:highlight w:val="none"/>
        </w:rPr>
        <w:t>。</w:t>
      </w:r>
    </w:p>
    <w:p w14:paraId="3621AE38">
      <w:pPr>
        <w:pStyle w:val="15"/>
        <w:rPr>
          <w:b/>
          <w:color w:val="auto"/>
          <w:sz w:val="21"/>
          <w:highlight w:val="none"/>
        </w:rPr>
      </w:pPr>
    </w:p>
    <w:p w14:paraId="2C4D2E8F">
      <w:pPr>
        <w:pStyle w:val="15"/>
        <w:rPr>
          <w:color w:val="auto"/>
          <w:highlight w:val="none"/>
        </w:rPr>
      </w:pPr>
      <w:r>
        <w:rPr>
          <w:b/>
          <w:color w:val="auto"/>
          <w:sz w:val="21"/>
          <w:highlight w:val="none"/>
        </w:rPr>
        <w:t>十一、付款方式</w:t>
      </w:r>
    </w:p>
    <w:p w14:paraId="006FB9CD">
      <w:pPr>
        <w:pStyle w:val="15"/>
        <w:numPr>
          <w:ilvl w:val="0"/>
          <w:numId w:val="13"/>
        </w:numPr>
        <w:ind w:left="425" w:leftChars="0" w:hanging="425" w:firstLineChars="0"/>
        <w:jc w:val="both"/>
        <w:rPr>
          <w:color w:val="auto"/>
          <w:highlight w:val="none"/>
        </w:rPr>
      </w:pPr>
      <w:r>
        <w:rPr>
          <w:rFonts w:hint="eastAsia"/>
          <w:color w:val="auto"/>
          <w:sz w:val="21"/>
          <w:highlight w:val="none"/>
          <w:lang w:eastAsia="zh-CN"/>
        </w:rPr>
        <w:t>成交供应商</w:t>
      </w:r>
      <w:r>
        <w:rPr>
          <w:color w:val="auto"/>
          <w:sz w:val="21"/>
          <w:highlight w:val="none"/>
        </w:rPr>
        <w:t>完成</w:t>
      </w:r>
      <w:r>
        <w:rPr>
          <w:rFonts w:hint="eastAsia"/>
          <w:color w:val="auto"/>
          <w:sz w:val="21"/>
          <w:highlight w:val="none"/>
          <w:lang w:eastAsia="zh-CN"/>
        </w:rPr>
        <w:t>本项目体检</w:t>
      </w:r>
      <w:r>
        <w:rPr>
          <w:color w:val="auto"/>
          <w:sz w:val="21"/>
          <w:highlight w:val="none"/>
        </w:rPr>
        <w:t>服务工作后（包括宣传发动、体检、报告出具、系统录入、报告解读、健康指导等），采购人对</w:t>
      </w:r>
      <w:r>
        <w:rPr>
          <w:rFonts w:hint="eastAsia"/>
          <w:color w:val="auto"/>
          <w:sz w:val="21"/>
          <w:highlight w:val="none"/>
          <w:lang w:eastAsia="zh-CN"/>
        </w:rPr>
        <w:t>成交供应商</w:t>
      </w:r>
      <w:r>
        <w:rPr>
          <w:color w:val="auto"/>
          <w:sz w:val="21"/>
          <w:highlight w:val="none"/>
        </w:rPr>
        <w:t>的服务数量和质量进行考核验收，验收合格后</w:t>
      </w:r>
      <w:r>
        <w:rPr>
          <w:rFonts w:hint="eastAsia"/>
          <w:color w:val="auto"/>
          <w:sz w:val="21"/>
          <w:highlight w:val="none"/>
          <w:lang w:eastAsia="zh-CN"/>
        </w:rPr>
        <w:t>按实际结算金额</w:t>
      </w:r>
      <w:r>
        <w:rPr>
          <w:color w:val="auto"/>
          <w:sz w:val="21"/>
          <w:highlight w:val="none"/>
        </w:rPr>
        <w:t>支付</w:t>
      </w:r>
      <w:r>
        <w:rPr>
          <w:rFonts w:hint="eastAsia"/>
          <w:color w:val="auto"/>
          <w:sz w:val="21"/>
          <w:highlight w:val="none"/>
          <w:lang w:eastAsia="zh-CN"/>
        </w:rPr>
        <w:t>服务费用</w:t>
      </w:r>
      <w:r>
        <w:rPr>
          <w:color w:val="auto"/>
          <w:sz w:val="21"/>
          <w:highlight w:val="none"/>
        </w:rPr>
        <w:t>。</w:t>
      </w:r>
    </w:p>
    <w:p w14:paraId="32F4451A">
      <w:pPr>
        <w:pStyle w:val="15"/>
        <w:rPr>
          <w:b/>
          <w:color w:val="auto"/>
          <w:sz w:val="21"/>
          <w:highlight w:val="none"/>
        </w:rPr>
      </w:pPr>
    </w:p>
    <w:p w14:paraId="759582BA">
      <w:pPr>
        <w:pStyle w:val="15"/>
        <w:rPr>
          <w:color w:val="auto"/>
          <w:highlight w:val="none"/>
        </w:rPr>
      </w:pPr>
      <w:r>
        <w:rPr>
          <w:b/>
          <w:color w:val="auto"/>
          <w:sz w:val="21"/>
          <w:highlight w:val="none"/>
        </w:rPr>
        <w:t>十二、验收</w:t>
      </w:r>
    </w:p>
    <w:p w14:paraId="1304917F">
      <w:pPr>
        <w:pStyle w:val="15"/>
        <w:numPr>
          <w:ilvl w:val="0"/>
          <w:numId w:val="14"/>
        </w:numPr>
        <w:ind w:left="425" w:leftChars="0" w:hanging="425" w:firstLineChars="0"/>
        <w:rPr>
          <w:color w:val="auto"/>
          <w:highlight w:val="none"/>
        </w:rPr>
      </w:pPr>
      <w:r>
        <w:rPr>
          <w:color w:val="auto"/>
          <w:sz w:val="21"/>
          <w:highlight w:val="none"/>
        </w:rPr>
        <w:t>中山市卫生健康局三角分局定期督导整个体检过程、结果。</w:t>
      </w:r>
    </w:p>
    <w:p w14:paraId="5D09811B">
      <w:pPr>
        <w:pStyle w:val="15"/>
        <w:numPr>
          <w:ilvl w:val="0"/>
          <w:numId w:val="14"/>
        </w:numPr>
        <w:ind w:left="425" w:leftChars="0" w:hanging="425" w:firstLineChars="0"/>
        <w:rPr>
          <w:color w:val="auto"/>
          <w:highlight w:val="none"/>
        </w:rPr>
      </w:pPr>
      <w:r>
        <w:rPr>
          <w:color w:val="auto"/>
          <w:sz w:val="21"/>
          <w:highlight w:val="none"/>
        </w:rPr>
        <w:t>体检完成后，由中山市卫生健康局三角分局开展项目验收，从过程、结果整体验收，重点体检真实性和体检信息录入中山市区域卫生信息平台-基层医疗卫生信息系统是否符合《国家基本公共卫生服务规范（第三版）》，针对验收发现问题，有权责令整改，不完成的整改拒不验收。</w:t>
      </w:r>
    </w:p>
    <w:p w14:paraId="2A5EDAE4">
      <w:pPr>
        <w:pStyle w:val="15"/>
        <w:numPr>
          <w:ilvl w:val="0"/>
          <w:numId w:val="0"/>
        </w:numPr>
        <w:ind w:leftChars="0"/>
        <w:rPr>
          <w:color w:val="auto"/>
          <w:highlight w:val="none"/>
        </w:rPr>
      </w:pPr>
    </w:p>
    <w:p w14:paraId="444B1212">
      <w:pPr>
        <w:pStyle w:val="15"/>
        <w:rPr>
          <w:color w:val="auto"/>
          <w:highlight w:val="none"/>
        </w:rPr>
      </w:pPr>
      <w:r>
        <w:rPr>
          <w:b/>
          <w:color w:val="auto"/>
          <w:sz w:val="21"/>
          <w:highlight w:val="none"/>
        </w:rPr>
        <w:t>十三、违约责任</w:t>
      </w:r>
    </w:p>
    <w:p w14:paraId="3DA1100A">
      <w:pPr>
        <w:pStyle w:val="15"/>
        <w:numPr>
          <w:ilvl w:val="0"/>
          <w:numId w:val="15"/>
        </w:numPr>
        <w:ind w:left="425" w:leftChars="0" w:hanging="425" w:firstLineChars="0"/>
        <w:rPr>
          <w:color w:val="auto"/>
          <w:highlight w:val="none"/>
        </w:rPr>
      </w:pPr>
      <w:r>
        <w:rPr>
          <w:rFonts w:hint="eastAsia"/>
          <w:color w:val="auto"/>
          <w:sz w:val="21"/>
          <w:highlight w:val="none"/>
          <w:lang w:eastAsia="zh-CN"/>
        </w:rPr>
        <w:t>成交供应商</w:t>
      </w:r>
      <w:r>
        <w:rPr>
          <w:color w:val="auto"/>
          <w:sz w:val="21"/>
          <w:highlight w:val="none"/>
        </w:rPr>
        <w:t>在收到采购人体检通知之日起5个工作日内未能开始进行体检的，</w:t>
      </w:r>
      <w:r>
        <w:rPr>
          <w:rFonts w:hint="eastAsia"/>
          <w:color w:val="auto"/>
          <w:sz w:val="21"/>
          <w:highlight w:val="none"/>
          <w:lang w:eastAsia="zh-CN"/>
        </w:rPr>
        <w:t>成交供应商</w:t>
      </w:r>
      <w:r>
        <w:rPr>
          <w:color w:val="auto"/>
          <w:sz w:val="21"/>
          <w:highlight w:val="none"/>
        </w:rPr>
        <w:t>须向采购人支付合同总价5%的违约金，采购人有权单方面终止合同。</w:t>
      </w:r>
    </w:p>
    <w:p w14:paraId="79EB00AB">
      <w:pPr>
        <w:pStyle w:val="15"/>
        <w:numPr>
          <w:ilvl w:val="0"/>
          <w:numId w:val="15"/>
        </w:numPr>
        <w:ind w:left="425" w:leftChars="0" w:hanging="425" w:firstLineChars="0"/>
        <w:rPr>
          <w:color w:val="auto"/>
          <w:highlight w:val="none"/>
        </w:rPr>
      </w:pPr>
      <w:r>
        <w:rPr>
          <w:color w:val="auto"/>
          <w:sz w:val="21"/>
          <w:highlight w:val="none"/>
        </w:rPr>
        <w:t>双方在合同期内，不得单方面无正当理由终止合同，否则按违约处理。违约方须按合同总价的10%支付违约金给对方。</w:t>
      </w:r>
    </w:p>
    <w:p w14:paraId="115BD0EE">
      <w:pPr>
        <w:pStyle w:val="15"/>
        <w:numPr>
          <w:ilvl w:val="0"/>
          <w:numId w:val="15"/>
        </w:numPr>
        <w:ind w:left="425" w:leftChars="0" w:hanging="425" w:firstLineChars="0"/>
        <w:rPr>
          <w:color w:val="auto"/>
          <w:highlight w:val="none"/>
        </w:rPr>
      </w:pPr>
      <w:r>
        <w:rPr>
          <w:rFonts w:hint="eastAsia"/>
          <w:color w:val="auto"/>
          <w:sz w:val="21"/>
          <w:highlight w:val="none"/>
          <w:lang w:eastAsia="zh-CN"/>
        </w:rPr>
        <w:t>成交供应商</w:t>
      </w:r>
      <w:r>
        <w:rPr>
          <w:color w:val="auto"/>
          <w:sz w:val="21"/>
          <w:highlight w:val="none"/>
        </w:rPr>
        <w:t>违反本</w:t>
      </w:r>
      <w:r>
        <w:rPr>
          <w:rFonts w:hint="eastAsia"/>
          <w:color w:val="auto"/>
          <w:sz w:val="21"/>
          <w:highlight w:val="none"/>
          <w:lang w:eastAsia="zh-CN"/>
        </w:rPr>
        <w:t>项目</w:t>
      </w:r>
      <w:r>
        <w:rPr>
          <w:color w:val="auto"/>
          <w:sz w:val="21"/>
          <w:highlight w:val="none"/>
        </w:rPr>
        <w:t>合同规定，所提供的服务未达到合同要求，采购人书面提出整改通知，每提出一次，</w:t>
      </w:r>
      <w:r>
        <w:rPr>
          <w:rFonts w:hint="eastAsia"/>
          <w:color w:val="auto"/>
          <w:sz w:val="21"/>
          <w:highlight w:val="none"/>
          <w:lang w:eastAsia="zh-CN"/>
        </w:rPr>
        <w:t>成交供应商</w:t>
      </w:r>
      <w:r>
        <w:rPr>
          <w:color w:val="auto"/>
          <w:sz w:val="21"/>
          <w:highlight w:val="none"/>
        </w:rPr>
        <w:t>向采购人支付合同总价的3%的违约金，累计提出达三次，采购人有权单方面终止合同，由此造成采购人及采购人人员损失的，</w:t>
      </w:r>
      <w:r>
        <w:rPr>
          <w:rFonts w:hint="eastAsia"/>
          <w:color w:val="auto"/>
          <w:sz w:val="21"/>
          <w:highlight w:val="none"/>
          <w:lang w:eastAsia="zh-CN"/>
        </w:rPr>
        <w:t>成交供应商</w:t>
      </w:r>
      <w:r>
        <w:rPr>
          <w:color w:val="auto"/>
          <w:sz w:val="21"/>
          <w:highlight w:val="none"/>
        </w:rPr>
        <w:t>应给予赔偿。</w:t>
      </w:r>
    </w:p>
    <w:p w14:paraId="24567C85">
      <w:pPr>
        <w:pStyle w:val="15"/>
        <w:rPr>
          <w:rFonts w:hint="eastAsia"/>
          <w:b/>
          <w:color w:val="auto"/>
          <w:sz w:val="21"/>
          <w:highlight w:val="none"/>
          <w:lang w:eastAsia="zh-CN"/>
        </w:rPr>
      </w:pPr>
    </w:p>
    <w:p w14:paraId="337AE155">
      <w:pPr>
        <w:pStyle w:val="15"/>
        <w:numPr>
          <w:ilvl w:val="0"/>
          <w:numId w:val="0"/>
        </w:numPr>
        <w:ind w:leftChars="0"/>
        <w:rPr>
          <w:b/>
          <w:bCs/>
          <w:color w:val="auto"/>
          <w:sz w:val="21"/>
          <w:highlight w:val="none"/>
        </w:rPr>
      </w:pPr>
      <w:r>
        <w:rPr>
          <w:b/>
          <w:bCs/>
          <w:color w:val="auto"/>
          <w:sz w:val="21"/>
          <w:highlight w:val="none"/>
        </w:rPr>
        <w:t>采购包1（</w:t>
      </w:r>
      <w:r>
        <w:rPr>
          <w:rFonts w:hint="eastAsia"/>
          <w:b/>
          <w:bCs/>
          <w:color w:val="auto"/>
          <w:sz w:val="21"/>
          <w:highlight w:val="none"/>
          <w:lang w:eastAsia="zh-CN"/>
        </w:rPr>
        <w:t>2026年度中山市三角镇65岁及以上老年人体检服务项目</w:t>
      </w:r>
      <w:r>
        <w:rPr>
          <w:b/>
          <w:bCs/>
          <w:color w:val="auto"/>
          <w:sz w:val="21"/>
          <w:highlight w:val="none"/>
        </w:rPr>
        <w:t>）</w:t>
      </w:r>
    </w:p>
    <w:p w14:paraId="38CDDBE5">
      <w:pPr>
        <w:pStyle w:val="15"/>
        <w:rPr>
          <w:color w:val="auto"/>
          <w:highlight w:val="none"/>
        </w:rPr>
      </w:pPr>
      <w:r>
        <w:rPr>
          <w:b/>
          <w:color w:val="auto"/>
          <w:highlight w:val="none"/>
        </w:rPr>
        <w:t>1.主要商务要求</w:t>
      </w:r>
    </w:p>
    <w:tbl>
      <w:tblPr>
        <w:tblStyle w:val="1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D422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63965BCA">
            <w:pPr>
              <w:pStyle w:val="15"/>
              <w:rPr>
                <w:color w:val="auto"/>
                <w:highlight w:val="none"/>
              </w:rPr>
            </w:pPr>
            <w:r>
              <w:rPr>
                <w:color w:val="auto"/>
                <w:highlight w:val="none"/>
              </w:rPr>
              <w:t>标的提供的时间</w:t>
            </w:r>
          </w:p>
        </w:tc>
        <w:tc>
          <w:tcPr>
            <w:tcW w:w="4153" w:type="dxa"/>
          </w:tcPr>
          <w:p w14:paraId="4DB558A7">
            <w:pPr>
              <w:pStyle w:val="15"/>
              <w:rPr>
                <w:color w:val="auto"/>
                <w:highlight w:val="none"/>
              </w:rPr>
            </w:pPr>
            <w:r>
              <w:rPr>
                <w:rFonts w:hint="eastAsia"/>
                <w:color w:val="auto"/>
                <w:highlight w:val="none"/>
                <w:lang w:eastAsia="zh-CN"/>
              </w:rPr>
              <w:t>自合同签订之日起至2026年12月31日止</w:t>
            </w:r>
            <w:r>
              <w:rPr>
                <w:color w:val="auto"/>
                <w:highlight w:val="none"/>
              </w:rPr>
              <w:t>。</w:t>
            </w:r>
          </w:p>
        </w:tc>
      </w:tr>
      <w:tr w14:paraId="483C4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39CCAB43">
            <w:pPr>
              <w:pStyle w:val="15"/>
              <w:rPr>
                <w:color w:val="auto"/>
                <w:highlight w:val="none"/>
              </w:rPr>
            </w:pPr>
            <w:r>
              <w:rPr>
                <w:color w:val="auto"/>
                <w:highlight w:val="none"/>
              </w:rPr>
              <w:t>标的提供的地点</w:t>
            </w:r>
          </w:p>
        </w:tc>
        <w:tc>
          <w:tcPr>
            <w:tcW w:w="4153" w:type="dxa"/>
          </w:tcPr>
          <w:p w14:paraId="2A32CB77">
            <w:pPr>
              <w:pStyle w:val="15"/>
              <w:rPr>
                <w:color w:val="auto"/>
                <w:highlight w:val="none"/>
              </w:rPr>
            </w:pPr>
            <w:r>
              <w:rPr>
                <w:color w:val="auto"/>
                <w:highlight w:val="none"/>
              </w:rPr>
              <w:t>采购人指定地点</w:t>
            </w:r>
          </w:p>
        </w:tc>
      </w:tr>
      <w:tr w14:paraId="06E0A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315014B8">
            <w:pPr>
              <w:pStyle w:val="15"/>
              <w:rPr>
                <w:color w:val="auto"/>
                <w:highlight w:val="none"/>
              </w:rPr>
            </w:pPr>
            <w:r>
              <w:rPr>
                <w:color w:val="auto"/>
                <w:highlight w:val="none"/>
              </w:rPr>
              <w:t>付款方式</w:t>
            </w:r>
          </w:p>
        </w:tc>
        <w:tc>
          <w:tcPr>
            <w:tcW w:w="4153" w:type="dxa"/>
          </w:tcPr>
          <w:p w14:paraId="60C94E4E">
            <w:pPr>
              <w:pStyle w:val="15"/>
              <w:rPr>
                <w:color w:val="auto"/>
                <w:highlight w:val="none"/>
              </w:rPr>
            </w:pPr>
            <w:r>
              <w:rPr>
                <w:color w:val="auto"/>
                <w:highlight w:val="none"/>
              </w:rPr>
              <w:t>1期：支付比例100%，</w:t>
            </w:r>
            <w:r>
              <w:rPr>
                <w:rFonts w:hint="eastAsia"/>
                <w:color w:val="auto"/>
                <w:sz w:val="21"/>
                <w:highlight w:val="none"/>
                <w:lang w:eastAsia="zh-CN"/>
              </w:rPr>
              <w:t>成交供应商</w:t>
            </w:r>
            <w:r>
              <w:rPr>
                <w:color w:val="auto"/>
                <w:sz w:val="21"/>
                <w:highlight w:val="none"/>
              </w:rPr>
              <w:t>完成</w:t>
            </w:r>
            <w:r>
              <w:rPr>
                <w:rFonts w:hint="eastAsia"/>
                <w:color w:val="auto"/>
                <w:sz w:val="21"/>
                <w:highlight w:val="none"/>
                <w:lang w:eastAsia="zh-CN"/>
              </w:rPr>
              <w:t>本项目体检</w:t>
            </w:r>
            <w:r>
              <w:rPr>
                <w:color w:val="auto"/>
                <w:sz w:val="21"/>
                <w:highlight w:val="none"/>
              </w:rPr>
              <w:t>服务工作后（包括宣传发动、体检、报告出具、系统录入、报告解读、健康指导等），采购人对</w:t>
            </w:r>
            <w:r>
              <w:rPr>
                <w:rFonts w:hint="eastAsia"/>
                <w:color w:val="auto"/>
                <w:sz w:val="21"/>
                <w:highlight w:val="none"/>
                <w:lang w:eastAsia="zh-CN"/>
              </w:rPr>
              <w:t>成交供应商</w:t>
            </w:r>
            <w:r>
              <w:rPr>
                <w:color w:val="auto"/>
                <w:sz w:val="21"/>
                <w:highlight w:val="none"/>
              </w:rPr>
              <w:t>的服务数量和质量进行考核验收，验收合格后</w:t>
            </w:r>
            <w:r>
              <w:rPr>
                <w:rFonts w:hint="eastAsia"/>
                <w:color w:val="auto"/>
                <w:sz w:val="21"/>
                <w:highlight w:val="none"/>
                <w:lang w:eastAsia="zh-CN"/>
              </w:rPr>
              <w:t>按实际结算金额</w:t>
            </w:r>
            <w:r>
              <w:rPr>
                <w:color w:val="auto"/>
                <w:sz w:val="21"/>
                <w:highlight w:val="none"/>
              </w:rPr>
              <w:t>支付</w:t>
            </w:r>
            <w:r>
              <w:rPr>
                <w:rFonts w:hint="eastAsia"/>
                <w:color w:val="auto"/>
                <w:sz w:val="21"/>
                <w:highlight w:val="none"/>
                <w:lang w:eastAsia="zh-CN"/>
              </w:rPr>
              <w:t>服务费用</w:t>
            </w:r>
            <w:r>
              <w:rPr>
                <w:color w:val="auto"/>
                <w:highlight w:val="none"/>
              </w:rPr>
              <w:t>。</w:t>
            </w:r>
          </w:p>
        </w:tc>
      </w:tr>
      <w:tr w14:paraId="6DE09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69892313">
            <w:pPr>
              <w:pStyle w:val="15"/>
              <w:rPr>
                <w:color w:val="auto"/>
                <w:highlight w:val="none"/>
              </w:rPr>
            </w:pPr>
            <w:r>
              <w:rPr>
                <w:color w:val="auto"/>
                <w:highlight w:val="none"/>
              </w:rPr>
              <w:t>验收要求</w:t>
            </w:r>
          </w:p>
        </w:tc>
        <w:tc>
          <w:tcPr>
            <w:tcW w:w="4153" w:type="dxa"/>
          </w:tcPr>
          <w:p w14:paraId="430F5CC7">
            <w:pPr>
              <w:pStyle w:val="15"/>
              <w:rPr>
                <w:color w:val="auto"/>
                <w:highlight w:val="none"/>
              </w:rPr>
            </w:pPr>
            <w:r>
              <w:rPr>
                <w:color w:val="auto"/>
                <w:highlight w:val="none"/>
              </w:rPr>
              <w:t>1期：</w:t>
            </w:r>
            <w:r>
              <w:rPr>
                <w:rFonts w:hint="eastAsia"/>
                <w:color w:val="auto"/>
                <w:highlight w:val="none"/>
                <w:lang w:val="en-US" w:eastAsia="zh-CN"/>
              </w:rPr>
              <w:t>1.</w:t>
            </w:r>
            <w:r>
              <w:rPr>
                <w:color w:val="auto"/>
                <w:highlight w:val="none"/>
              </w:rPr>
              <w:t xml:space="preserve">中山市卫生健康局三角分局定期督导整个体检过程、结果。 </w:t>
            </w:r>
            <w:r>
              <w:rPr>
                <w:rFonts w:hint="eastAsia"/>
                <w:color w:val="auto"/>
                <w:highlight w:val="none"/>
                <w:lang w:val="en-US" w:eastAsia="zh-CN"/>
              </w:rPr>
              <w:t>2.</w:t>
            </w:r>
            <w:r>
              <w:rPr>
                <w:color w:val="auto"/>
                <w:highlight w:val="none"/>
              </w:rPr>
              <w:t>体检完成后，由中山市卫生健康局三角分局开展项目验收，从过程、结果整体验收，重点体检真实性和体检信息录入中山市区域卫生信息平台-基层医疗卫生信息系统是否符合《国家基本公共卫生服务规范（第三版）》，针对验收发现问题，有权责令整改，不完成的整改拒不验收。</w:t>
            </w:r>
          </w:p>
        </w:tc>
      </w:tr>
      <w:tr w14:paraId="74F14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3D96613A">
            <w:pPr>
              <w:pStyle w:val="15"/>
              <w:rPr>
                <w:color w:val="auto"/>
                <w:highlight w:val="none"/>
              </w:rPr>
            </w:pPr>
            <w:r>
              <w:rPr>
                <w:color w:val="auto"/>
                <w:highlight w:val="none"/>
              </w:rPr>
              <w:t>履约保证金</w:t>
            </w:r>
          </w:p>
        </w:tc>
        <w:tc>
          <w:tcPr>
            <w:tcW w:w="4153" w:type="dxa"/>
          </w:tcPr>
          <w:p w14:paraId="2558FC5E">
            <w:pPr>
              <w:pStyle w:val="15"/>
              <w:rPr>
                <w:color w:val="auto"/>
                <w:highlight w:val="none"/>
              </w:rPr>
            </w:pPr>
            <w:r>
              <w:rPr>
                <w:color w:val="auto"/>
                <w:highlight w:val="none"/>
              </w:rPr>
              <w:t>不收取</w:t>
            </w:r>
          </w:p>
        </w:tc>
      </w:tr>
      <w:tr w14:paraId="1FCE0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7890E653">
            <w:pPr>
              <w:pStyle w:val="15"/>
              <w:rPr>
                <w:color w:val="auto"/>
                <w:highlight w:val="none"/>
              </w:rPr>
            </w:pPr>
            <w:r>
              <w:rPr>
                <w:color w:val="auto"/>
                <w:highlight w:val="none"/>
              </w:rPr>
              <w:t>其他</w:t>
            </w:r>
          </w:p>
        </w:tc>
        <w:tc>
          <w:tcPr>
            <w:tcW w:w="4153" w:type="dxa"/>
          </w:tcPr>
          <w:p w14:paraId="14EC3020">
            <w:pPr>
              <w:pStyle w:val="15"/>
              <w:rPr>
                <w:color w:val="auto"/>
                <w:highlight w:val="none"/>
              </w:rPr>
            </w:pPr>
            <w:r>
              <w:rPr>
                <w:color w:val="auto"/>
                <w:highlight w:val="none"/>
              </w:rPr>
              <w:t>1，采购人配合条件，供应商在响应文件中可列明在项目实施过程中要求采购人提供的配合条件，所列配合条件采购人将尽量配合解决，但不代表采购人全部接受，采购人有权全部或部分拒绝供应商提出的配合条件。</w:t>
            </w:r>
          </w:p>
        </w:tc>
      </w:tr>
    </w:tbl>
    <w:p w14:paraId="7E33187D">
      <w:pPr>
        <w:pStyle w:val="15"/>
        <w:rPr>
          <w:color w:val="auto"/>
          <w:highlight w:val="none"/>
        </w:rPr>
      </w:pPr>
      <w:r>
        <w:rPr>
          <w:b/>
          <w:color w:val="auto"/>
          <w:highlight w:val="none"/>
        </w:rPr>
        <w:t>2.技术标准与要求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8"/>
        <w:gridCol w:w="888"/>
        <w:gridCol w:w="906"/>
        <w:gridCol w:w="888"/>
        <w:gridCol w:w="902"/>
        <w:gridCol w:w="1179"/>
        <w:gridCol w:w="1179"/>
        <w:gridCol w:w="803"/>
        <w:gridCol w:w="889"/>
      </w:tblGrid>
      <w:tr w14:paraId="0545F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D8536E6">
            <w:pPr>
              <w:pStyle w:val="15"/>
              <w:jc w:val="center"/>
              <w:rPr>
                <w:color w:val="auto"/>
                <w:highlight w:val="none"/>
              </w:rPr>
            </w:pPr>
            <w:bookmarkStart w:id="0" w:name="_GoBack"/>
            <w:r>
              <w:rPr>
                <w:color w:val="auto"/>
                <w:highlight w:val="none"/>
              </w:rPr>
              <w:t>序号</w:t>
            </w:r>
          </w:p>
        </w:tc>
        <w:tc>
          <w:tcPr>
            <w:tcW w:w="933" w:type="dxa"/>
          </w:tcPr>
          <w:p w14:paraId="2D0F5E76">
            <w:pPr>
              <w:pStyle w:val="15"/>
              <w:jc w:val="center"/>
              <w:rPr>
                <w:color w:val="auto"/>
                <w:highlight w:val="none"/>
              </w:rPr>
            </w:pPr>
            <w:r>
              <w:rPr>
                <w:color w:val="auto"/>
                <w:highlight w:val="none"/>
              </w:rPr>
              <w:t>品目名称</w:t>
            </w:r>
          </w:p>
        </w:tc>
        <w:tc>
          <w:tcPr>
            <w:tcW w:w="933" w:type="dxa"/>
          </w:tcPr>
          <w:p w14:paraId="61E3FECE">
            <w:pPr>
              <w:pStyle w:val="15"/>
              <w:jc w:val="center"/>
              <w:rPr>
                <w:color w:val="auto"/>
                <w:highlight w:val="none"/>
              </w:rPr>
            </w:pPr>
            <w:r>
              <w:rPr>
                <w:color w:val="auto"/>
                <w:highlight w:val="none"/>
              </w:rPr>
              <w:t>标的名称</w:t>
            </w:r>
          </w:p>
        </w:tc>
        <w:tc>
          <w:tcPr>
            <w:tcW w:w="933" w:type="dxa"/>
          </w:tcPr>
          <w:p w14:paraId="1AC1F606">
            <w:pPr>
              <w:pStyle w:val="15"/>
              <w:jc w:val="center"/>
              <w:rPr>
                <w:color w:val="auto"/>
                <w:highlight w:val="none"/>
              </w:rPr>
            </w:pPr>
            <w:r>
              <w:rPr>
                <w:color w:val="auto"/>
                <w:highlight w:val="none"/>
              </w:rPr>
              <w:t>单位</w:t>
            </w:r>
          </w:p>
        </w:tc>
        <w:tc>
          <w:tcPr>
            <w:tcW w:w="933" w:type="dxa"/>
          </w:tcPr>
          <w:p w14:paraId="6AADD6E5">
            <w:pPr>
              <w:pStyle w:val="15"/>
              <w:jc w:val="center"/>
              <w:rPr>
                <w:color w:val="auto"/>
                <w:highlight w:val="none"/>
              </w:rPr>
            </w:pPr>
            <w:r>
              <w:rPr>
                <w:color w:val="auto"/>
                <w:highlight w:val="none"/>
              </w:rPr>
              <w:t>数量</w:t>
            </w:r>
          </w:p>
        </w:tc>
        <w:tc>
          <w:tcPr>
            <w:tcW w:w="933" w:type="dxa"/>
          </w:tcPr>
          <w:p w14:paraId="34486417">
            <w:pPr>
              <w:pStyle w:val="15"/>
              <w:jc w:val="center"/>
              <w:rPr>
                <w:color w:val="auto"/>
                <w:highlight w:val="none"/>
              </w:rPr>
            </w:pPr>
            <w:r>
              <w:rPr>
                <w:color w:val="auto"/>
                <w:highlight w:val="none"/>
              </w:rPr>
              <w:t>分项预算单价（元）</w:t>
            </w:r>
          </w:p>
        </w:tc>
        <w:tc>
          <w:tcPr>
            <w:tcW w:w="933" w:type="dxa"/>
          </w:tcPr>
          <w:p w14:paraId="5293048D">
            <w:pPr>
              <w:pStyle w:val="15"/>
              <w:jc w:val="center"/>
              <w:rPr>
                <w:color w:val="auto"/>
                <w:highlight w:val="none"/>
              </w:rPr>
            </w:pPr>
            <w:r>
              <w:rPr>
                <w:color w:val="auto"/>
                <w:highlight w:val="none"/>
              </w:rPr>
              <w:t>分项预算总价（元）</w:t>
            </w:r>
          </w:p>
        </w:tc>
        <w:tc>
          <w:tcPr>
            <w:tcW w:w="840" w:type="dxa"/>
          </w:tcPr>
          <w:p w14:paraId="364DD16D">
            <w:pPr>
              <w:pStyle w:val="15"/>
              <w:rPr>
                <w:color w:val="auto"/>
                <w:highlight w:val="none"/>
              </w:rPr>
            </w:pPr>
            <w:r>
              <w:rPr>
                <w:color w:val="auto"/>
                <w:highlight w:val="none"/>
              </w:rPr>
              <w:t>所属行业</w:t>
            </w:r>
          </w:p>
        </w:tc>
        <w:tc>
          <w:tcPr>
            <w:tcW w:w="933" w:type="dxa"/>
          </w:tcPr>
          <w:p w14:paraId="2D76D4D4">
            <w:pPr>
              <w:pStyle w:val="15"/>
              <w:jc w:val="center"/>
              <w:rPr>
                <w:color w:val="auto"/>
                <w:highlight w:val="none"/>
              </w:rPr>
            </w:pPr>
            <w:r>
              <w:rPr>
                <w:color w:val="auto"/>
                <w:highlight w:val="none"/>
              </w:rPr>
              <w:t>技术要求</w:t>
            </w:r>
          </w:p>
        </w:tc>
      </w:tr>
      <w:tr w14:paraId="4723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E5F1128">
            <w:pPr>
              <w:pStyle w:val="15"/>
              <w:jc w:val="center"/>
              <w:rPr>
                <w:color w:val="auto"/>
                <w:highlight w:val="none"/>
              </w:rPr>
            </w:pPr>
            <w:r>
              <w:rPr>
                <w:color w:val="auto"/>
                <w:highlight w:val="none"/>
              </w:rPr>
              <w:t>1</w:t>
            </w:r>
          </w:p>
        </w:tc>
        <w:tc>
          <w:tcPr>
            <w:tcW w:w="933" w:type="dxa"/>
          </w:tcPr>
          <w:p w14:paraId="3E90EEC8">
            <w:pPr>
              <w:pStyle w:val="15"/>
              <w:jc w:val="left"/>
              <w:rPr>
                <w:rFonts w:hint="eastAsia" w:eastAsiaTheme="minorEastAsia"/>
                <w:color w:val="auto"/>
                <w:highlight w:val="none"/>
                <w:lang w:eastAsia="zh-CN"/>
              </w:rPr>
            </w:pPr>
            <w:r>
              <w:rPr>
                <w:rFonts w:hint="eastAsia"/>
                <w:color w:val="auto"/>
                <w:highlight w:val="none"/>
                <w:lang w:eastAsia="zh-CN"/>
              </w:rPr>
              <w:t>体检服务</w:t>
            </w:r>
          </w:p>
        </w:tc>
        <w:tc>
          <w:tcPr>
            <w:tcW w:w="933" w:type="dxa"/>
          </w:tcPr>
          <w:p w14:paraId="536D632B">
            <w:pPr>
              <w:pStyle w:val="15"/>
              <w:jc w:val="left"/>
              <w:rPr>
                <w:rFonts w:hint="eastAsia" w:eastAsiaTheme="minorEastAsia"/>
                <w:color w:val="auto"/>
                <w:highlight w:val="none"/>
                <w:lang w:eastAsia="zh-CN"/>
              </w:rPr>
            </w:pPr>
            <w:r>
              <w:rPr>
                <w:rFonts w:hint="eastAsia"/>
                <w:color w:val="auto"/>
                <w:highlight w:val="none"/>
                <w:lang w:eastAsia="zh-CN"/>
              </w:rPr>
              <w:t>2026年度中山市三角镇65岁及以上老年人体检服务项目</w:t>
            </w:r>
          </w:p>
        </w:tc>
        <w:tc>
          <w:tcPr>
            <w:tcW w:w="933" w:type="dxa"/>
          </w:tcPr>
          <w:p w14:paraId="73510843">
            <w:pPr>
              <w:pStyle w:val="15"/>
              <w:jc w:val="left"/>
              <w:rPr>
                <w:color w:val="auto"/>
                <w:highlight w:val="none"/>
              </w:rPr>
            </w:pPr>
            <w:r>
              <w:rPr>
                <w:color w:val="auto"/>
                <w:highlight w:val="none"/>
              </w:rPr>
              <w:t>项</w:t>
            </w:r>
          </w:p>
        </w:tc>
        <w:tc>
          <w:tcPr>
            <w:tcW w:w="933" w:type="dxa"/>
          </w:tcPr>
          <w:p w14:paraId="19FEC6D9">
            <w:pPr>
              <w:pStyle w:val="15"/>
              <w:jc w:val="right"/>
              <w:rPr>
                <w:color w:val="auto"/>
                <w:highlight w:val="none"/>
              </w:rPr>
            </w:pPr>
            <w:r>
              <w:rPr>
                <w:color w:val="auto"/>
                <w:highlight w:val="none"/>
              </w:rPr>
              <w:t>1.00</w:t>
            </w:r>
          </w:p>
        </w:tc>
        <w:tc>
          <w:tcPr>
            <w:tcW w:w="933" w:type="dxa"/>
          </w:tcPr>
          <w:p w14:paraId="09DBF8CA">
            <w:pPr>
              <w:pStyle w:val="15"/>
              <w:jc w:val="right"/>
              <w:rPr>
                <w:rFonts w:hint="eastAsia" w:eastAsiaTheme="minorEastAsia"/>
                <w:color w:val="auto"/>
                <w:highlight w:val="none"/>
                <w:lang w:eastAsia="zh-CN"/>
              </w:rPr>
            </w:pPr>
            <w:r>
              <w:rPr>
                <w:rFonts w:hint="eastAsia"/>
                <w:color w:val="auto"/>
                <w:highlight w:val="none"/>
                <w:lang w:eastAsia="zh-CN"/>
              </w:rPr>
              <w:t>3343320.00</w:t>
            </w:r>
          </w:p>
        </w:tc>
        <w:tc>
          <w:tcPr>
            <w:tcW w:w="933" w:type="dxa"/>
          </w:tcPr>
          <w:p w14:paraId="61881329">
            <w:pPr>
              <w:pStyle w:val="15"/>
              <w:jc w:val="right"/>
              <w:rPr>
                <w:rFonts w:hint="eastAsia" w:eastAsiaTheme="minorEastAsia"/>
                <w:color w:val="auto"/>
                <w:highlight w:val="none"/>
                <w:lang w:eastAsia="zh-CN"/>
              </w:rPr>
            </w:pPr>
            <w:r>
              <w:rPr>
                <w:rFonts w:hint="eastAsia"/>
                <w:color w:val="auto"/>
                <w:highlight w:val="none"/>
                <w:lang w:eastAsia="zh-CN"/>
              </w:rPr>
              <w:t>3343320.00</w:t>
            </w:r>
          </w:p>
        </w:tc>
        <w:tc>
          <w:tcPr>
            <w:tcW w:w="840" w:type="dxa"/>
          </w:tcPr>
          <w:p w14:paraId="6044B18F">
            <w:pPr>
              <w:pStyle w:val="15"/>
              <w:rPr>
                <w:color w:val="auto"/>
                <w:highlight w:val="none"/>
              </w:rPr>
            </w:pPr>
            <w:r>
              <w:rPr>
                <w:color w:val="auto"/>
                <w:highlight w:val="none"/>
              </w:rPr>
              <w:t>其他未列明行业</w:t>
            </w:r>
          </w:p>
        </w:tc>
        <w:tc>
          <w:tcPr>
            <w:tcW w:w="933" w:type="dxa"/>
          </w:tcPr>
          <w:p w14:paraId="59EEB2F5">
            <w:pPr>
              <w:pStyle w:val="15"/>
              <w:rPr>
                <w:color w:val="auto"/>
                <w:highlight w:val="none"/>
              </w:rPr>
            </w:pPr>
            <w:r>
              <w:rPr>
                <w:color w:val="auto"/>
                <w:highlight w:val="none"/>
              </w:rPr>
              <w:t>详见附表一</w:t>
            </w:r>
          </w:p>
        </w:tc>
      </w:tr>
      <w:bookmarkEnd w:id="0"/>
    </w:tbl>
    <w:p w14:paraId="76F1E67E">
      <w:pPr>
        <w:pStyle w:val="15"/>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2026年度中山市三角镇65岁及以上老年人体检服务项目</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7BFF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033ECC">
            <w:pPr>
              <w:pStyle w:val="15"/>
              <w:rPr>
                <w:color w:val="auto"/>
                <w:highlight w:val="none"/>
              </w:rPr>
            </w:pPr>
            <w:r>
              <w:rPr>
                <w:color w:val="auto"/>
                <w:highlight w:val="none"/>
              </w:rPr>
              <w:t>参数性质</w:t>
            </w:r>
          </w:p>
        </w:tc>
        <w:tc>
          <w:tcPr>
            <w:tcW w:w="415" w:type="dxa"/>
          </w:tcPr>
          <w:p w14:paraId="6E4A460F">
            <w:pPr>
              <w:pStyle w:val="15"/>
              <w:rPr>
                <w:color w:val="auto"/>
                <w:highlight w:val="none"/>
              </w:rPr>
            </w:pPr>
            <w:r>
              <w:rPr>
                <w:color w:val="auto"/>
                <w:highlight w:val="none"/>
              </w:rPr>
              <w:t>序号</w:t>
            </w:r>
          </w:p>
        </w:tc>
        <w:tc>
          <w:tcPr>
            <w:tcW w:w="5814" w:type="dxa"/>
          </w:tcPr>
          <w:p w14:paraId="59A20219">
            <w:pPr>
              <w:pStyle w:val="15"/>
              <w:rPr>
                <w:color w:val="auto"/>
                <w:highlight w:val="none"/>
              </w:rPr>
            </w:pPr>
            <w:r>
              <w:rPr>
                <w:color w:val="auto"/>
                <w:highlight w:val="none"/>
              </w:rPr>
              <w:t>具体技术(参数)要求</w:t>
            </w:r>
          </w:p>
        </w:tc>
      </w:tr>
      <w:tr w14:paraId="44328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0AA2CC">
            <w:pPr>
              <w:rPr>
                <w:color w:val="auto"/>
                <w:highlight w:val="none"/>
              </w:rPr>
            </w:pPr>
            <w:r>
              <w:rPr>
                <w:color w:val="auto"/>
                <w:highlight w:val="none"/>
              </w:rPr>
              <w:t>★</w:t>
            </w:r>
          </w:p>
        </w:tc>
        <w:tc>
          <w:tcPr>
            <w:tcW w:w="415" w:type="dxa"/>
          </w:tcPr>
          <w:p w14:paraId="178CD26E">
            <w:pPr>
              <w:pStyle w:val="15"/>
              <w:rPr>
                <w:color w:val="auto"/>
                <w:highlight w:val="none"/>
              </w:rPr>
            </w:pPr>
            <w:r>
              <w:rPr>
                <w:color w:val="auto"/>
                <w:highlight w:val="none"/>
              </w:rPr>
              <w:t>1</w:t>
            </w:r>
          </w:p>
        </w:tc>
        <w:tc>
          <w:tcPr>
            <w:tcW w:w="5814" w:type="dxa"/>
          </w:tcPr>
          <w:p w14:paraId="2137DD74">
            <w:pPr>
              <w:pStyle w:val="15"/>
              <w:jc w:val="left"/>
              <w:rPr>
                <w:color w:val="auto"/>
                <w:highlight w:val="none"/>
              </w:rPr>
            </w:pPr>
            <w:r>
              <w:rPr>
                <w:color w:val="auto"/>
                <w:sz w:val="21"/>
                <w:highlight w:val="none"/>
              </w:rPr>
              <w:t>★</w:t>
            </w:r>
            <w:r>
              <w:rPr>
                <w:rFonts w:hint="eastAsia"/>
                <w:color w:val="auto"/>
                <w:sz w:val="21"/>
                <w:highlight w:val="none"/>
                <w:lang w:eastAsia="zh-CN"/>
              </w:rPr>
              <w:t>供应商</w:t>
            </w:r>
            <w:r>
              <w:rPr>
                <w:rFonts w:hint="eastAsia"/>
                <w:color w:val="auto"/>
                <w:sz w:val="21"/>
                <w:highlight w:val="none"/>
                <w:lang w:val="en-US" w:eastAsia="zh-CN"/>
              </w:rPr>
              <w:t>须提供便携式DR投入于本项目开展体检服务。</w:t>
            </w:r>
            <w:r>
              <w:rPr>
                <w:rFonts w:hint="eastAsia" w:ascii="宋体" w:hAnsi="宋体" w:eastAsia="宋体" w:cs="宋体"/>
                <w:b/>
                <w:bCs w:val="0"/>
                <w:color w:val="auto"/>
                <w:sz w:val="21"/>
                <w:szCs w:val="21"/>
                <w:highlight w:val="none"/>
                <w:lang w:eastAsia="zh-CN"/>
              </w:rPr>
              <w:t>（在响应文件中提供承诺函并加盖供应商公章，格式自拟)</w:t>
            </w:r>
          </w:p>
        </w:tc>
      </w:tr>
      <w:tr w14:paraId="18431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7BC315">
            <w:pPr>
              <w:rPr>
                <w:color w:val="auto"/>
                <w:highlight w:val="none"/>
              </w:rPr>
            </w:pPr>
            <w:r>
              <w:rPr>
                <w:color w:val="auto"/>
                <w:highlight w:val="none"/>
              </w:rPr>
              <w:t>★</w:t>
            </w:r>
          </w:p>
        </w:tc>
        <w:tc>
          <w:tcPr>
            <w:tcW w:w="415" w:type="dxa"/>
          </w:tcPr>
          <w:p w14:paraId="6044BDC4">
            <w:pPr>
              <w:pStyle w:val="15"/>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14:paraId="2CC0B9F3">
            <w:pPr>
              <w:pStyle w:val="15"/>
              <w:jc w:val="left"/>
              <w:rPr>
                <w:color w:val="auto"/>
                <w:highlight w:val="none"/>
              </w:rPr>
            </w:pPr>
            <w:r>
              <w:rPr>
                <w:color w:val="auto"/>
                <w:sz w:val="21"/>
                <w:highlight w:val="none"/>
              </w:rPr>
              <w:t>★</w:t>
            </w:r>
            <w:r>
              <w:rPr>
                <w:rFonts w:hint="eastAsia" w:ascii="宋体" w:hAnsi="宋体" w:eastAsia="宋体" w:cs="宋体"/>
                <w:bCs/>
                <w:color w:val="auto"/>
                <w:sz w:val="21"/>
                <w:szCs w:val="21"/>
                <w:highlight w:val="none"/>
                <w:lang w:eastAsia="zh-CN"/>
              </w:rPr>
              <w:t>为保证本项目的正常运行，成交供应商须承诺成交结果发出之日起7个日历天内（签订合同前），成交供应商按响应文件提供的关于磋商文件评审因素的“拟投入的医护人员（含项目负责人）”投入于本项目，人员应与响应文件提供的关于磋商文件评审因素的“拟投入的医护人员（含项目负责人）”一致率不低于80%，如有更换要事前征得采购人的同意，且所替代人员的质量不得低于原人员的质量，否则采购人有权废除其成交资格。本项目合同服务期起，供应商安排进驻本项目人员到场率为100%。如成交供应商无法满足要求的，采购人有权终止其合同。</w:t>
            </w:r>
            <w:r>
              <w:rPr>
                <w:rFonts w:hint="eastAsia" w:ascii="宋体" w:hAnsi="宋体" w:eastAsia="宋体" w:cs="宋体"/>
                <w:b/>
                <w:bCs w:val="0"/>
                <w:color w:val="auto"/>
                <w:sz w:val="21"/>
                <w:szCs w:val="21"/>
                <w:highlight w:val="none"/>
                <w:lang w:eastAsia="zh-CN"/>
              </w:rPr>
              <w:t>（在响应文件中提供承诺函并加盖供应商公章，格式自拟)</w:t>
            </w:r>
          </w:p>
        </w:tc>
      </w:tr>
      <w:tr w14:paraId="6B290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E35ED4">
            <w:pPr>
              <w:pStyle w:val="15"/>
              <w:rPr>
                <w:color w:val="auto"/>
                <w:highlight w:val="none"/>
              </w:rPr>
            </w:pPr>
            <w:r>
              <w:rPr>
                <w:color w:val="auto"/>
                <w:highlight w:val="none"/>
              </w:rPr>
              <w:t>说明</w:t>
            </w:r>
          </w:p>
        </w:tc>
        <w:tc>
          <w:tcPr>
            <w:tcW w:w="6229" w:type="dxa"/>
            <w:gridSpan w:val="2"/>
          </w:tcPr>
          <w:p w14:paraId="1514233B">
            <w:pPr>
              <w:pStyle w:val="15"/>
              <w:jc w:val="left"/>
              <w:rPr>
                <w:color w:val="auto"/>
                <w:highlight w:val="none"/>
              </w:rPr>
            </w:pPr>
            <w:r>
              <w:rPr>
                <w:color w:val="auto"/>
                <w:highlight w:val="none"/>
              </w:rPr>
              <w:t xml:space="preserve">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打“▲”号条款为重要技术参数，若有部分“▲”条款未响应或不满足，不作为无效投标条款。</w:t>
            </w:r>
          </w:p>
        </w:tc>
      </w:tr>
    </w:tbl>
    <w:p w14:paraId="50AADF35">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AD4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C20D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93C20D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83D01"/>
    <w:multiLevelType w:val="singleLevel"/>
    <w:tmpl w:val="97683D01"/>
    <w:lvl w:ilvl="0" w:tentative="0">
      <w:start w:val="1"/>
      <w:numFmt w:val="decimal"/>
      <w:lvlText w:val="%1."/>
      <w:lvlJc w:val="left"/>
      <w:pPr>
        <w:ind w:left="425" w:hanging="425"/>
      </w:pPr>
      <w:rPr>
        <w:rFonts w:hint="default"/>
      </w:rPr>
    </w:lvl>
  </w:abstractNum>
  <w:abstractNum w:abstractNumId="1">
    <w:nsid w:val="AB1DDC30"/>
    <w:multiLevelType w:val="singleLevel"/>
    <w:tmpl w:val="AB1DDC30"/>
    <w:lvl w:ilvl="0" w:tentative="0">
      <w:start w:val="1"/>
      <w:numFmt w:val="decimal"/>
      <w:lvlText w:val="%1."/>
      <w:lvlJc w:val="left"/>
      <w:pPr>
        <w:ind w:left="425" w:hanging="425"/>
      </w:pPr>
      <w:rPr>
        <w:rFonts w:hint="default"/>
      </w:rPr>
    </w:lvl>
  </w:abstractNum>
  <w:abstractNum w:abstractNumId="2">
    <w:nsid w:val="C7E0686F"/>
    <w:multiLevelType w:val="singleLevel"/>
    <w:tmpl w:val="C7E0686F"/>
    <w:lvl w:ilvl="0" w:tentative="0">
      <w:start w:val="1"/>
      <w:numFmt w:val="decimal"/>
      <w:lvlText w:val="%1."/>
      <w:lvlJc w:val="left"/>
      <w:pPr>
        <w:ind w:left="425" w:hanging="425"/>
      </w:pPr>
      <w:rPr>
        <w:rFonts w:hint="default"/>
      </w:rPr>
    </w:lvl>
  </w:abstractNum>
  <w:abstractNum w:abstractNumId="3">
    <w:nsid w:val="D5BFB58D"/>
    <w:multiLevelType w:val="singleLevel"/>
    <w:tmpl w:val="D5BFB58D"/>
    <w:lvl w:ilvl="0" w:tentative="0">
      <w:start w:val="1"/>
      <w:numFmt w:val="decimal"/>
      <w:lvlText w:val="%1."/>
      <w:lvlJc w:val="left"/>
      <w:pPr>
        <w:ind w:left="425" w:hanging="425"/>
      </w:pPr>
      <w:rPr>
        <w:rFonts w:hint="default"/>
      </w:rPr>
    </w:lvl>
  </w:abstractNum>
  <w:abstractNum w:abstractNumId="4">
    <w:nsid w:val="EB778A2B"/>
    <w:multiLevelType w:val="singleLevel"/>
    <w:tmpl w:val="EB778A2B"/>
    <w:lvl w:ilvl="0" w:tentative="0">
      <w:start w:val="1"/>
      <w:numFmt w:val="decimal"/>
      <w:lvlText w:val="%1."/>
      <w:lvlJc w:val="left"/>
      <w:pPr>
        <w:ind w:left="425" w:hanging="425"/>
      </w:pPr>
      <w:rPr>
        <w:rFonts w:hint="default"/>
      </w:rPr>
    </w:lvl>
  </w:abstractNum>
  <w:abstractNum w:abstractNumId="5">
    <w:nsid w:val="F3E09D0E"/>
    <w:multiLevelType w:val="singleLevel"/>
    <w:tmpl w:val="F3E09D0E"/>
    <w:lvl w:ilvl="0" w:tentative="0">
      <w:start w:val="1"/>
      <w:numFmt w:val="decimal"/>
      <w:lvlText w:val="%1."/>
      <w:lvlJc w:val="left"/>
      <w:pPr>
        <w:ind w:left="425" w:hanging="425"/>
      </w:pPr>
      <w:rPr>
        <w:rFonts w:hint="default"/>
      </w:rPr>
    </w:lvl>
  </w:abstractNum>
  <w:abstractNum w:abstractNumId="6">
    <w:nsid w:val="F71ACC12"/>
    <w:multiLevelType w:val="singleLevel"/>
    <w:tmpl w:val="F71ACC12"/>
    <w:lvl w:ilvl="0" w:tentative="0">
      <w:start w:val="1"/>
      <w:numFmt w:val="decimal"/>
      <w:lvlText w:val="(%1)"/>
      <w:lvlJc w:val="left"/>
      <w:pPr>
        <w:ind w:left="425" w:hanging="425"/>
      </w:pPr>
      <w:rPr>
        <w:rFonts w:hint="default"/>
      </w:rPr>
    </w:lvl>
  </w:abstractNum>
  <w:abstractNum w:abstractNumId="7">
    <w:nsid w:val="FC716A9D"/>
    <w:multiLevelType w:val="singleLevel"/>
    <w:tmpl w:val="FC716A9D"/>
    <w:lvl w:ilvl="0" w:tentative="0">
      <w:start w:val="1"/>
      <w:numFmt w:val="decimal"/>
      <w:lvlText w:val="%1."/>
      <w:lvlJc w:val="left"/>
      <w:pPr>
        <w:ind w:left="425" w:hanging="425"/>
      </w:pPr>
      <w:rPr>
        <w:rFonts w:hint="default"/>
      </w:rPr>
    </w:lvl>
  </w:abstractNum>
  <w:abstractNum w:abstractNumId="8">
    <w:nsid w:val="2734F04A"/>
    <w:multiLevelType w:val="singleLevel"/>
    <w:tmpl w:val="2734F04A"/>
    <w:lvl w:ilvl="0" w:tentative="0">
      <w:start w:val="1"/>
      <w:numFmt w:val="decimal"/>
      <w:lvlText w:val="%1."/>
      <w:lvlJc w:val="left"/>
      <w:pPr>
        <w:ind w:left="425" w:hanging="425"/>
      </w:pPr>
      <w:rPr>
        <w:rFonts w:hint="default"/>
      </w:rPr>
    </w:lvl>
  </w:abstractNum>
  <w:abstractNum w:abstractNumId="9">
    <w:nsid w:val="2A403C0F"/>
    <w:multiLevelType w:val="singleLevel"/>
    <w:tmpl w:val="2A403C0F"/>
    <w:lvl w:ilvl="0" w:tentative="0">
      <w:start w:val="1"/>
      <w:numFmt w:val="decimal"/>
      <w:lvlText w:val="%1."/>
      <w:lvlJc w:val="left"/>
      <w:pPr>
        <w:ind w:left="425" w:hanging="425"/>
      </w:pPr>
      <w:rPr>
        <w:rFonts w:hint="default"/>
      </w:rPr>
    </w:lvl>
  </w:abstractNum>
  <w:abstractNum w:abstractNumId="10">
    <w:nsid w:val="36A9D92E"/>
    <w:multiLevelType w:val="singleLevel"/>
    <w:tmpl w:val="36A9D92E"/>
    <w:lvl w:ilvl="0" w:tentative="0">
      <w:start w:val="1"/>
      <w:numFmt w:val="decimal"/>
      <w:lvlText w:val="%1."/>
      <w:lvlJc w:val="left"/>
      <w:pPr>
        <w:ind w:left="425" w:hanging="425"/>
      </w:pPr>
      <w:rPr>
        <w:rFonts w:hint="default"/>
      </w:rPr>
    </w:lvl>
  </w:abstractNum>
  <w:abstractNum w:abstractNumId="11">
    <w:nsid w:val="405F524D"/>
    <w:multiLevelType w:val="singleLevel"/>
    <w:tmpl w:val="405F524D"/>
    <w:lvl w:ilvl="0" w:tentative="0">
      <w:start w:val="1"/>
      <w:numFmt w:val="decimal"/>
      <w:lvlText w:val="%1."/>
      <w:lvlJc w:val="left"/>
      <w:pPr>
        <w:ind w:left="425" w:hanging="425"/>
      </w:pPr>
      <w:rPr>
        <w:rFonts w:hint="default"/>
      </w:rPr>
    </w:lvl>
  </w:abstractNum>
  <w:abstractNum w:abstractNumId="12">
    <w:nsid w:val="6E45A1DA"/>
    <w:multiLevelType w:val="singleLevel"/>
    <w:tmpl w:val="6E45A1DA"/>
    <w:lvl w:ilvl="0" w:tentative="0">
      <w:start w:val="1"/>
      <w:numFmt w:val="decimal"/>
      <w:lvlText w:val="%1."/>
      <w:lvlJc w:val="left"/>
      <w:pPr>
        <w:ind w:left="425" w:hanging="425"/>
      </w:pPr>
      <w:rPr>
        <w:rFonts w:hint="default"/>
      </w:rPr>
    </w:lvl>
  </w:abstractNum>
  <w:abstractNum w:abstractNumId="13">
    <w:nsid w:val="7DDCF090"/>
    <w:multiLevelType w:val="singleLevel"/>
    <w:tmpl w:val="7DDCF090"/>
    <w:lvl w:ilvl="0" w:tentative="0">
      <w:start w:val="1"/>
      <w:numFmt w:val="decimal"/>
      <w:lvlText w:val="(%1)"/>
      <w:lvlJc w:val="left"/>
      <w:pPr>
        <w:ind w:left="425" w:hanging="425"/>
      </w:pPr>
      <w:rPr>
        <w:rFonts w:hint="default"/>
      </w:rPr>
    </w:lvl>
  </w:abstractNum>
  <w:abstractNum w:abstractNumId="14">
    <w:nsid w:val="7F1A8995"/>
    <w:multiLevelType w:val="multilevel"/>
    <w:tmpl w:val="7F1A8995"/>
    <w:lvl w:ilvl="0" w:tentative="0">
      <w:start w:val="1"/>
      <w:numFmt w:val="decimal"/>
      <w:pStyle w:val="2"/>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ind w:left="0" w:leftChars="0" w:firstLine="0" w:firstLineChars="0"/>
      </w:pPr>
      <w:rPr>
        <w:rFonts w:hint="default" w:ascii="微软雅黑" w:hAnsi="微软雅黑" w:eastAsia="微软雅黑"/>
      </w:rPr>
    </w:lvl>
    <w:lvl w:ilvl="2" w:tentative="0">
      <w:start w:val="1"/>
      <w:numFmt w:val="decimal"/>
      <w:pStyle w:val="4"/>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7"/>
      <w:suff w:val="space"/>
      <w:lvlText w:val="%1.%2.%3.%4.%5.%6."/>
      <w:lvlJc w:val="left"/>
      <w:pPr>
        <w:ind w:left="0" w:leftChars="0" w:firstLine="0" w:firstLineChars="0"/>
      </w:pPr>
      <w:rPr>
        <w:rFonts w:hint="default"/>
      </w:rPr>
    </w:lvl>
    <w:lvl w:ilvl="6" w:tentative="0">
      <w:start w:val="1"/>
      <w:numFmt w:val="decimal"/>
      <w:pStyle w:val="8"/>
      <w:lvlText w:val="%1.%2.%3.%4.%5.%6.%7."/>
      <w:lvlJc w:val="left"/>
      <w:pPr>
        <w:tabs>
          <w:tab w:val="left" w:pos="0"/>
        </w:tabs>
        <w:ind w:left="0" w:leftChars="0" w:firstLine="0" w:firstLineChars="0"/>
      </w:pPr>
      <w:rPr>
        <w:rFonts w:hint="default"/>
      </w:rPr>
    </w:lvl>
    <w:lvl w:ilvl="7" w:tentative="0">
      <w:start w:val="1"/>
      <w:numFmt w:val="decimal"/>
      <w:pStyle w:val="9"/>
      <w:suff w:val="space"/>
      <w:lvlText w:val="%1.%2.%3.%4.%5.%6.%7.%8."/>
      <w:lvlJc w:val="left"/>
      <w:pPr>
        <w:ind w:left="0" w:leftChars="0" w:firstLine="0" w:firstLineChars="0"/>
      </w:pPr>
      <w:rPr>
        <w:rFonts w:hint="default"/>
      </w:rPr>
    </w:lvl>
    <w:lvl w:ilvl="8" w:tentative="0">
      <w:start w:val="1"/>
      <w:numFmt w:val="decimal"/>
      <w:pStyle w:val="10"/>
      <w:lvlText w:val="%1.%2.%3.%4.%5.%6.%7.%8.%9."/>
      <w:lvlJc w:val="left"/>
      <w:pPr>
        <w:tabs>
          <w:tab w:val="left" w:pos="0"/>
        </w:tabs>
        <w:ind w:left="0" w:leftChars="0" w:firstLine="0" w:firstLineChars="0"/>
      </w:pPr>
      <w:rPr>
        <w:rFonts w:hint="default"/>
      </w:rPr>
    </w:lvl>
  </w:abstractNum>
  <w:num w:numId="1">
    <w:abstractNumId w:val="14"/>
  </w:num>
  <w:num w:numId="2">
    <w:abstractNumId w:val="1"/>
  </w:num>
  <w:num w:numId="3">
    <w:abstractNumId w:val="11"/>
  </w:num>
  <w:num w:numId="4">
    <w:abstractNumId w:val="7"/>
  </w:num>
  <w:num w:numId="5">
    <w:abstractNumId w:val="2"/>
  </w:num>
  <w:num w:numId="6">
    <w:abstractNumId w:val="13"/>
  </w:num>
  <w:num w:numId="7">
    <w:abstractNumId w:val="6"/>
  </w:num>
  <w:num w:numId="8">
    <w:abstractNumId w:val="5"/>
  </w:num>
  <w:num w:numId="9">
    <w:abstractNumId w:val="0"/>
  </w:num>
  <w:num w:numId="10">
    <w:abstractNumId w:val="4"/>
  </w:num>
  <w:num w:numId="11">
    <w:abstractNumId w:val="8"/>
  </w:num>
  <w:num w:numId="12">
    <w:abstractNumId w:val="12"/>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57B97"/>
    <w:rsid w:val="019A43DE"/>
    <w:rsid w:val="01F128CB"/>
    <w:rsid w:val="034D6BB0"/>
    <w:rsid w:val="04657B97"/>
    <w:rsid w:val="05DE7F94"/>
    <w:rsid w:val="06FD5623"/>
    <w:rsid w:val="11755C50"/>
    <w:rsid w:val="16930926"/>
    <w:rsid w:val="175B1444"/>
    <w:rsid w:val="1C636FD4"/>
    <w:rsid w:val="1F4F5C86"/>
    <w:rsid w:val="24351427"/>
    <w:rsid w:val="2A92046A"/>
    <w:rsid w:val="2B4F0E68"/>
    <w:rsid w:val="2E747C8B"/>
    <w:rsid w:val="30DE1BA3"/>
    <w:rsid w:val="31BB7F96"/>
    <w:rsid w:val="35505F08"/>
    <w:rsid w:val="35B11FF3"/>
    <w:rsid w:val="415D577B"/>
    <w:rsid w:val="45F3589E"/>
    <w:rsid w:val="55211C33"/>
    <w:rsid w:val="5BEC7E8A"/>
    <w:rsid w:val="63A215CD"/>
    <w:rsid w:val="64C25C2B"/>
    <w:rsid w:val="6A4B4E53"/>
    <w:rsid w:val="6D90008D"/>
    <w:rsid w:val="6E121DE9"/>
    <w:rsid w:val="77D3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numPr>
        <w:ilvl w:val="0"/>
        <w:numId w:val="1"/>
      </w:numPr>
      <w:tabs>
        <w:tab w:val="left" w:pos="0"/>
      </w:tabs>
      <w:adjustRightInd w:val="0"/>
      <w:snapToGrid w:val="0"/>
      <w:spacing w:before="50" w:beforeLines="50" w:after="20" w:afterLines="20" w:line="288" w:lineRule="auto"/>
      <w:ind w:left="0" w:firstLine="0"/>
      <w:outlineLvl w:val="0"/>
    </w:pPr>
    <w:rPr>
      <w:rFonts w:ascii="微软雅黑" w:hAnsi="微软雅黑" w:eastAsia="宋体" w:cstheme="minorBidi"/>
      <w:b/>
      <w:bCs/>
      <w:kern w:val="44"/>
      <w:sz w:val="36"/>
      <w:szCs w:val="36"/>
    </w:rPr>
  </w:style>
  <w:style w:type="paragraph" w:styleId="3">
    <w:name w:val="heading 2"/>
    <w:next w:val="1"/>
    <w:semiHidden/>
    <w:unhideWhenUsed/>
    <w:qFormat/>
    <w:uiPriority w:val="0"/>
    <w:pPr>
      <w:numPr>
        <w:ilvl w:val="1"/>
        <w:numId w:val="1"/>
      </w:numPr>
      <w:tabs>
        <w:tab w:val="left" w:pos="0"/>
      </w:tabs>
      <w:adjustRightInd w:val="0"/>
      <w:snapToGrid w:val="0"/>
      <w:spacing w:before="50" w:beforeLines="50" w:after="20" w:afterLines="20" w:line="288" w:lineRule="auto"/>
      <w:ind w:left="0" w:firstLine="0"/>
      <w:outlineLvl w:val="1"/>
    </w:pPr>
    <w:rPr>
      <w:rFonts w:ascii="微软雅黑" w:hAnsi="微软雅黑" w:eastAsia="宋体" w:cstheme="minorBidi"/>
      <w:b/>
      <w:bCs/>
      <w:kern w:val="2"/>
      <w:sz w:val="32"/>
      <w:szCs w:val="32"/>
    </w:rPr>
  </w:style>
  <w:style w:type="paragraph" w:styleId="4">
    <w:name w:val="heading 3"/>
    <w:next w:val="1"/>
    <w:semiHidden/>
    <w:unhideWhenUsed/>
    <w:qFormat/>
    <w:uiPriority w:val="0"/>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宋体" w:cstheme="minorBidi"/>
      <w:b/>
      <w:kern w:val="2"/>
      <w:sz w:val="30"/>
      <w:szCs w:val="30"/>
    </w:rPr>
  </w:style>
  <w:style w:type="paragraph" w:styleId="5">
    <w:name w:val="heading 4"/>
    <w:basedOn w:val="1"/>
    <w:next w:val="1"/>
    <w:semiHidden/>
    <w:unhideWhenUsed/>
    <w:qFormat/>
    <w:uiPriority w:val="0"/>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宋体" w:cs="Times New Roman"/>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2063</Words>
  <Characters>2117</Characters>
  <Lines>0</Lines>
  <Paragraphs>0</Paragraphs>
  <TotalTime>14</TotalTime>
  <ScaleCrop>false</ScaleCrop>
  <LinksUpToDate>false</LinksUpToDate>
  <CharactersWithSpaces>2122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2026-02-25T08:42:00Z</dcterms:created>
  <dc:creator>Shirley</dc:creator>
  <cp:lastModifiedBy>Shirley</cp:lastModifiedBy>
  <dcterms:modified xsi:type="dcterms:W3CDTF">2026-03-02T03:18:47Z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1EE0668FF1464325BF05826737CD3FEB_11</vt:lpwstr>
  </property>
  <property fmtid="{D5CDD505-2E9C-101B-9397-08002B2CF9AE}" pid="4" name="KSOTemplateDocerSaveRecord">
    <vt:lpwstr>eyJoZGlkIjoiMmIwNDkwNjc2NDE3MzcxOThjNzBlYjdkNmZmOTVhMGMiLCJ1c2VySWQiOiI0MzUyMjgyNzgifQ==</vt:lpwstr>
  </property>
</Properties>
</file>